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CFB57" w14:textId="77777777" w:rsidR="00E61CCB" w:rsidRPr="00EE438F" w:rsidRDefault="00E61CCB" w:rsidP="00EE438F">
      <w:pPr>
        <w:ind w:left="1418" w:hanging="2"/>
        <w:jc w:val="center"/>
        <w:rPr>
          <w:sz w:val="52"/>
          <w:szCs w:val="52"/>
        </w:rPr>
      </w:pPr>
    </w:p>
    <w:p w14:paraId="6A934206" w14:textId="77777777" w:rsidR="00E96F0C" w:rsidRDefault="00E96F0C" w:rsidP="004E2F90">
      <w:pPr>
        <w:ind w:left="1418" w:hanging="2"/>
        <w:rPr>
          <w:sz w:val="52"/>
          <w:szCs w:val="52"/>
        </w:rPr>
      </w:pPr>
    </w:p>
    <w:p w14:paraId="2E58BF1E" w14:textId="77777777" w:rsidR="003D45F0" w:rsidRDefault="003D45F0" w:rsidP="003D45F0">
      <w:pPr>
        <w:ind w:left="851" w:hanging="2"/>
        <w:rPr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 wp14:anchorId="1FBBE150" wp14:editId="05BF776F">
            <wp:extent cx="4674358" cy="289253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5644" cy="289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89AB2" w14:textId="77777777" w:rsidR="003D45F0" w:rsidRDefault="003D45F0" w:rsidP="004E2F90">
      <w:pPr>
        <w:ind w:left="1418" w:hanging="2"/>
        <w:rPr>
          <w:sz w:val="52"/>
          <w:szCs w:val="52"/>
        </w:rPr>
      </w:pPr>
    </w:p>
    <w:p w14:paraId="68436C5D" w14:textId="77777777" w:rsidR="003D45F0" w:rsidRDefault="003D45F0" w:rsidP="004E2F90">
      <w:pPr>
        <w:ind w:left="1418" w:hanging="2"/>
        <w:rPr>
          <w:sz w:val="52"/>
          <w:szCs w:val="52"/>
        </w:rPr>
      </w:pPr>
    </w:p>
    <w:p w14:paraId="7DA1137C" w14:textId="77777777" w:rsidR="00E61CCB" w:rsidRPr="00F86634" w:rsidRDefault="00E61CCB" w:rsidP="00CE317B">
      <w:pPr>
        <w:ind w:left="4253" w:hanging="1559"/>
        <w:rPr>
          <w:color w:val="365F91" w:themeColor="accent1" w:themeShade="BF"/>
          <w:sz w:val="64"/>
          <w:szCs w:val="64"/>
        </w:rPr>
      </w:pPr>
      <w:r w:rsidRPr="00F86634">
        <w:rPr>
          <w:color w:val="365F91" w:themeColor="accent1" w:themeShade="BF"/>
          <w:sz w:val="64"/>
          <w:szCs w:val="64"/>
        </w:rPr>
        <w:t>VÝRO</w:t>
      </w:r>
      <w:r w:rsidRPr="00F86634">
        <w:rPr>
          <w:rFonts w:cs="Times New Roman"/>
          <w:color w:val="365F91" w:themeColor="accent1" w:themeShade="BF"/>
          <w:sz w:val="64"/>
          <w:szCs w:val="64"/>
        </w:rPr>
        <w:t>Č</w:t>
      </w:r>
      <w:r w:rsidRPr="00F86634">
        <w:rPr>
          <w:color w:val="365F91" w:themeColor="accent1" w:themeShade="BF"/>
          <w:sz w:val="64"/>
          <w:szCs w:val="64"/>
        </w:rPr>
        <w:t>N</w:t>
      </w:r>
      <w:r w:rsidRPr="00F86634">
        <w:rPr>
          <w:rFonts w:cs="Lucida Calligraphy"/>
          <w:color w:val="365F91" w:themeColor="accent1" w:themeShade="BF"/>
          <w:sz w:val="64"/>
          <w:szCs w:val="64"/>
        </w:rPr>
        <w:t>Í</w:t>
      </w:r>
      <w:r w:rsidRPr="00F86634">
        <w:rPr>
          <w:color w:val="365F91" w:themeColor="accent1" w:themeShade="BF"/>
          <w:sz w:val="64"/>
          <w:szCs w:val="64"/>
        </w:rPr>
        <w:t xml:space="preserve"> ZPR</w:t>
      </w:r>
      <w:r w:rsidRPr="00F86634">
        <w:rPr>
          <w:rFonts w:cs="Lucida Calligraphy"/>
          <w:color w:val="365F91" w:themeColor="accent1" w:themeShade="BF"/>
          <w:sz w:val="64"/>
          <w:szCs w:val="64"/>
        </w:rPr>
        <w:t>Á</w:t>
      </w:r>
      <w:r w:rsidRPr="00F86634">
        <w:rPr>
          <w:color w:val="365F91" w:themeColor="accent1" w:themeShade="BF"/>
          <w:sz w:val="64"/>
          <w:szCs w:val="64"/>
        </w:rPr>
        <w:t>VA</w:t>
      </w:r>
      <w:r w:rsidRPr="00F86634">
        <w:rPr>
          <w:color w:val="365F91" w:themeColor="accent1" w:themeShade="BF"/>
          <w:sz w:val="64"/>
          <w:szCs w:val="64"/>
        </w:rPr>
        <w:br/>
        <w:t>201</w:t>
      </w:r>
      <w:r w:rsidR="00830779" w:rsidRPr="00F86634">
        <w:rPr>
          <w:color w:val="365F91" w:themeColor="accent1" w:themeShade="BF"/>
          <w:sz w:val="64"/>
          <w:szCs w:val="64"/>
        </w:rPr>
        <w:t>9</w:t>
      </w:r>
    </w:p>
    <w:p w14:paraId="277564E0" w14:textId="77777777" w:rsidR="00925C17" w:rsidRPr="00F86634" w:rsidRDefault="00925C17" w:rsidP="00FB36A6">
      <w:pPr>
        <w:jc w:val="center"/>
        <w:rPr>
          <w:color w:val="365F91" w:themeColor="accent1" w:themeShade="BF"/>
          <w:sz w:val="64"/>
          <w:szCs w:val="64"/>
        </w:rPr>
      </w:pPr>
    </w:p>
    <w:p w14:paraId="5DAB9D58" w14:textId="77777777" w:rsidR="00FB36A6" w:rsidRDefault="00FB36A6" w:rsidP="00FB36A6">
      <w:pPr>
        <w:jc w:val="center"/>
        <w:rPr>
          <w:color w:val="000000" w:themeColor="text1"/>
          <w:sz w:val="52"/>
          <w:szCs w:val="52"/>
        </w:rPr>
      </w:pPr>
    </w:p>
    <w:p w14:paraId="1BC02D1C" w14:textId="77777777" w:rsidR="002E4E92" w:rsidRPr="00077E34" w:rsidRDefault="002E4E92" w:rsidP="00077E34">
      <w:pPr>
        <w:jc w:val="center"/>
        <w:rPr>
          <w:color w:val="000000" w:themeColor="text1"/>
          <w:sz w:val="16"/>
          <w:szCs w:val="16"/>
        </w:rPr>
      </w:pPr>
    </w:p>
    <w:p w14:paraId="368F537B" w14:textId="77777777" w:rsidR="00A51122" w:rsidRPr="00A51122" w:rsidRDefault="00A51122" w:rsidP="00A51122"/>
    <w:p w14:paraId="33825406" w14:textId="77777777" w:rsidR="00E61CCB" w:rsidRPr="00F86634" w:rsidRDefault="00E61CCB" w:rsidP="003D4827">
      <w:pPr>
        <w:rPr>
          <w:color w:val="365F91" w:themeColor="accent1" w:themeShade="BF"/>
          <w:sz w:val="52"/>
          <w:szCs w:val="52"/>
        </w:rPr>
      </w:pPr>
      <w:r w:rsidRPr="00F86634">
        <w:rPr>
          <w:color w:val="365F91" w:themeColor="accent1" w:themeShade="BF"/>
          <w:sz w:val="52"/>
          <w:szCs w:val="52"/>
        </w:rPr>
        <w:t>OBSAH</w:t>
      </w:r>
    </w:p>
    <w:p w14:paraId="29DE48D1" w14:textId="77777777" w:rsidR="0024153A" w:rsidRDefault="00D1483A">
      <w:pPr>
        <w:pStyle w:val="Obsah1"/>
        <w:tabs>
          <w:tab w:val="right" w:leader="dot" w:pos="9062"/>
        </w:tabs>
        <w:rPr>
          <w:rFonts w:eastAsiaTheme="minorEastAsia" w:cstheme="minorBidi"/>
          <w:i w:val="0"/>
          <w:noProof/>
          <w:sz w:val="22"/>
          <w:lang w:eastAsia="cs-CZ"/>
        </w:rPr>
      </w:pPr>
      <w:r w:rsidRPr="001A6F74">
        <w:rPr>
          <w:color w:val="FF0000"/>
          <w:sz w:val="56"/>
          <w:szCs w:val="56"/>
        </w:rPr>
        <w:fldChar w:fldCharType="begin"/>
      </w:r>
      <w:r w:rsidRPr="001A6F74">
        <w:rPr>
          <w:color w:val="FF0000"/>
          <w:sz w:val="56"/>
          <w:szCs w:val="56"/>
        </w:rPr>
        <w:instrText xml:space="preserve"> TOC \o "1-1" \h \z \u </w:instrText>
      </w:r>
      <w:r w:rsidRPr="001A6F74">
        <w:rPr>
          <w:color w:val="FF0000"/>
          <w:sz w:val="56"/>
          <w:szCs w:val="56"/>
        </w:rPr>
        <w:fldChar w:fldCharType="separate"/>
      </w:r>
      <w:hyperlink w:anchor="_Toc45113400" w:history="1">
        <w:r w:rsidR="0024153A" w:rsidRPr="00E54842">
          <w:rPr>
            <w:rStyle w:val="Hypertextovodkaz"/>
            <w:noProof/>
          </w:rPr>
          <w:t>ZPRÁVA PŘEDSTAVENSTVA</w:t>
        </w:r>
        <w:r w:rsidR="0024153A">
          <w:rPr>
            <w:noProof/>
            <w:webHidden/>
          </w:rPr>
          <w:tab/>
        </w:r>
        <w:r w:rsidR="0024153A">
          <w:rPr>
            <w:noProof/>
            <w:webHidden/>
          </w:rPr>
          <w:fldChar w:fldCharType="begin"/>
        </w:r>
        <w:r w:rsidR="0024153A">
          <w:rPr>
            <w:noProof/>
            <w:webHidden/>
          </w:rPr>
          <w:instrText xml:space="preserve"> PAGEREF _Toc45113400 \h </w:instrText>
        </w:r>
        <w:r w:rsidR="0024153A">
          <w:rPr>
            <w:noProof/>
            <w:webHidden/>
          </w:rPr>
        </w:r>
        <w:r w:rsidR="0024153A">
          <w:rPr>
            <w:noProof/>
            <w:webHidden/>
          </w:rPr>
          <w:fldChar w:fldCharType="separate"/>
        </w:r>
        <w:r w:rsidR="00BE5DA6">
          <w:rPr>
            <w:noProof/>
            <w:webHidden/>
          </w:rPr>
          <w:t>4</w:t>
        </w:r>
        <w:r w:rsidR="0024153A">
          <w:rPr>
            <w:noProof/>
            <w:webHidden/>
          </w:rPr>
          <w:fldChar w:fldCharType="end"/>
        </w:r>
      </w:hyperlink>
    </w:p>
    <w:p w14:paraId="4F9C3D36" w14:textId="77777777" w:rsidR="0024153A" w:rsidRDefault="00C33361">
      <w:pPr>
        <w:pStyle w:val="Obsah1"/>
        <w:tabs>
          <w:tab w:val="right" w:leader="dot" w:pos="9062"/>
        </w:tabs>
        <w:rPr>
          <w:rFonts w:eastAsiaTheme="minorEastAsia" w:cstheme="minorBidi"/>
          <w:i w:val="0"/>
          <w:noProof/>
          <w:sz w:val="22"/>
          <w:lang w:eastAsia="cs-CZ"/>
        </w:rPr>
      </w:pPr>
      <w:hyperlink w:anchor="_Toc45113401" w:history="1">
        <w:r w:rsidR="0024153A" w:rsidRPr="00E54842">
          <w:rPr>
            <w:rStyle w:val="Hypertextovodkaz"/>
            <w:noProof/>
          </w:rPr>
          <w:t>ZÁKLADNÍ ÚDAJE O SPOLEČNOSTI</w:t>
        </w:r>
        <w:r w:rsidR="0024153A">
          <w:rPr>
            <w:noProof/>
            <w:webHidden/>
          </w:rPr>
          <w:tab/>
        </w:r>
        <w:r w:rsidR="0024153A">
          <w:rPr>
            <w:noProof/>
            <w:webHidden/>
          </w:rPr>
          <w:fldChar w:fldCharType="begin"/>
        </w:r>
        <w:r w:rsidR="0024153A">
          <w:rPr>
            <w:noProof/>
            <w:webHidden/>
          </w:rPr>
          <w:instrText xml:space="preserve"> PAGEREF _Toc45113401 \h </w:instrText>
        </w:r>
        <w:r w:rsidR="0024153A">
          <w:rPr>
            <w:noProof/>
            <w:webHidden/>
          </w:rPr>
        </w:r>
        <w:r w:rsidR="0024153A">
          <w:rPr>
            <w:noProof/>
            <w:webHidden/>
          </w:rPr>
          <w:fldChar w:fldCharType="separate"/>
        </w:r>
        <w:r w:rsidR="00BE5DA6">
          <w:rPr>
            <w:noProof/>
            <w:webHidden/>
          </w:rPr>
          <w:t>5</w:t>
        </w:r>
        <w:r w:rsidR="0024153A">
          <w:rPr>
            <w:noProof/>
            <w:webHidden/>
          </w:rPr>
          <w:fldChar w:fldCharType="end"/>
        </w:r>
      </w:hyperlink>
    </w:p>
    <w:p w14:paraId="37E51ECE" w14:textId="77777777" w:rsidR="0024153A" w:rsidRDefault="00C33361">
      <w:pPr>
        <w:pStyle w:val="Obsah1"/>
        <w:tabs>
          <w:tab w:val="right" w:leader="dot" w:pos="9062"/>
        </w:tabs>
        <w:rPr>
          <w:rFonts w:eastAsiaTheme="minorEastAsia" w:cstheme="minorBidi"/>
          <w:i w:val="0"/>
          <w:noProof/>
          <w:sz w:val="22"/>
          <w:lang w:eastAsia="cs-CZ"/>
        </w:rPr>
      </w:pPr>
      <w:hyperlink w:anchor="_Toc45113402" w:history="1">
        <w:r w:rsidR="0024153A" w:rsidRPr="00E54842">
          <w:rPr>
            <w:rStyle w:val="Hypertextovodkaz"/>
            <w:noProof/>
          </w:rPr>
          <w:t>NÁVRH NA VYPOŘÁDÁNÍ VÝSLEDKU HOSPODAŘENÍ</w:t>
        </w:r>
        <w:r w:rsidR="0024153A">
          <w:rPr>
            <w:noProof/>
            <w:webHidden/>
          </w:rPr>
          <w:tab/>
        </w:r>
        <w:r w:rsidR="0024153A">
          <w:rPr>
            <w:noProof/>
            <w:webHidden/>
          </w:rPr>
          <w:fldChar w:fldCharType="begin"/>
        </w:r>
        <w:r w:rsidR="0024153A">
          <w:rPr>
            <w:noProof/>
            <w:webHidden/>
          </w:rPr>
          <w:instrText xml:space="preserve"> PAGEREF _Toc45113402 \h </w:instrText>
        </w:r>
        <w:r w:rsidR="0024153A">
          <w:rPr>
            <w:noProof/>
            <w:webHidden/>
          </w:rPr>
        </w:r>
        <w:r w:rsidR="0024153A">
          <w:rPr>
            <w:noProof/>
            <w:webHidden/>
          </w:rPr>
          <w:fldChar w:fldCharType="separate"/>
        </w:r>
        <w:r w:rsidR="00BE5DA6">
          <w:rPr>
            <w:noProof/>
            <w:webHidden/>
          </w:rPr>
          <w:t>9</w:t>
        </w:r>
        <w:r w:rsidR="0024153A">
          <w:rPr>
            <w:noProof/>
            <w:webHidden/>
          </w:rPr>
          <w:fldChar w:fldCharType="end"/>
        </w:r>
      </w:hyperlink>
    </w:p>
    <w:p w14:paraId="6BDB84AC" w14:textId="77777777" w:rsidR="0024153A" w:rsidRDefault="00C33361">
      <w:pPr>
        <w:pStyle w:val="Obsah1"/>
        <w:tabs>
          <w:tab w:val="right" w:leader="dot" w:pos="9062"/>
        </w:tabs>
        <w:rPr>
          <w:rFonts w:eastAsiaTheme="minorEastAsia" w:cstheme="minorBidi"/>
          <w:i w:val="0"/>
          <w:noProof/>
          <w:sz w:val="22"/>
          <w:lang w:eastAsia="cs-CZ"/>
        </w:rPr>
      </w:pPr>
      <w:hyperlink w:anchor="_Toc45113403" w:history="1">
        <w:r w:rsidR="0024153A" w:rsidRPr="00E54842">
          <w:rPr>
            <w:rStyle w:val="Hypertextovodkaz"/>
            <w:noProof/>
          </w:rPr>
          <w:t>VÝSLEDKY HOSPODAŘENÍ</w:t>
        </w:r>
        <w:r w:rsidR="0024153A">
          <w:rPr>
            <w:noProof/>
            <w:webHidden/>
          </w:rPr>
          <w:tab/>
        </w:r>
        <w:r w:rsidR="0024153A">
          <w:rPr>
            <w:noProof/>
            <w:webHidden/>
          </w:rPr>
          <w:fldChar w:fldCharType="begin"/>
        </w:r>
        <w:r w:rsidR="0024153A">
          <w:rPr>
            <w:noProof/>
            <w:webHidden/>
          </w:rPr>
          <w:instrText xml:space="preserve"> PAGEREF _Toc45113403 \h </w:instrText>
        </w:r>
        <w:r w:rsidR="0024153A">
          <w:rPr>
            <w:noProof/>
            <w:webHidden/>
          </w:rPr>
        </w:r>
        <w:r w:rsidR="0024153A">
          <w:rPr>
            <w:noProof/>
            <w:webHidden/>
          </w:rPr>
          <w:fldChar w:fldCharType="separate"/>
        </w:r>
        <w:r w:rsidR="00BE5DA6">
          <w:rPr>
            <w:noProof/>
            <w:webHidden/>
          </w:rPr>
          <w:t>11</w:t>
        </w:r>
        <w:r w:rsidR="0024153A">
          <w:rPr>
            <w:noProof/>
            <w:webHidden/>
          </w:rPr>
          <w:fldChar w:fldCharType="end"/>
        </w:r>
      </w:hyperlink>
    </w:p>
    <w:p w14:paraId="5F7DB165" w14:textId="77777777" w:rsidR="0024153A" w:rsidRDefault="00C33361">
      <w:pPr>
        <w:pStyle w:val="Obsah1"/>
        <w:tabs>
          <w:tab w:val="right" w:leader="dot" w:pos="9062"/>
        </w:tabs>
        <w:rPr>
          <w:rFonts w:eastAsiaTheme="minorEastAsia" w:cstheme="minorBidi"/>
          <w:i w:val="0"/>
          <w:noProof/>
          <w:sz w:val="22"/>
          <w:lang w:eastAsia="cs-CZ"/>
        </w:rPr>
      </w:pPr>
      <w:hyperlink w:anchor="_Toc45113404" w:history="1">
        <w:r w:rsidR="0024153A" w:rsidRPr="00E54842">
          <w:rPr>
            <w:rStyle w:val="Hypertextovodkaz"/>
            <w:noProof/>
          </w:rPr>
          <w:t>FINANČNÍ VÝKAZY</w:t>
        </w:r>
        <w:r w:rsidR="0024153A">
          <w:rPr>
            <w:noProof/>
            <w:webHidden/>
          </w:rPr>
          <w:tab/>
        </w:r>
        <w:r w:rsidR="0024153A">
          <w:rPr>
            <w:noProof/>
            <w:webHidden/>
          </w:rPr>
          <w:fldChar w:fldCharType="begin"/>
        </w:r>
        <w:r w:rsidR="0024153A">
          <w:rPr>
            <w:noProof/>
            <w:webHidden/>
          </w:rPr>
          <w:instrText xml:space="preserve"> PAGEREF _Toc45113404 \h </w:instrText>
        </w:r>
        <w:r w:rsidR="0024153A">
          <w:rPr>
            <w:noProof/>
            <w:webHidden/>
          </w:rPr>
        </w:r>
        <w:r w:rsidR="0024153A">
          <w:rPr>
            <w:noProof/>
            <w:webHidden/>
          </w:rPr>
          <w:fldChar w:fldCharType="separate"/>
        </w:r>
        <w:r w:rsidR="00BE5DA6">
          <w:rPr>
            <w:noProof/>
            <w:webHidden/>
          </w:rPr>
          <w:t>13</w:t>
        </w:r>
        <w:r w:rsidR="0024153A">
          <w:rPr>
            <w:noProof/>
            <w:webHidden/>
          </w:rPr>
          <w:fldChar w:fldCharType="end"/>
        </w:r>
      </w:hyperlink>
    </w:p>
    <w:p w14:paraId="740B53B8" w14:textId="77777777" w:rsidR="0024153A" w:rsidRDefault="00C33361">
      <w:pPr>
        <w:pStyle w:val="Obsah1"/>
        <w:tabs>
          <w:tab w:val="right" w:leader="dot" w:pos="9062"/>
        </w:tabs>
        <w:rPr>
          <w:rFonts w:eastAsiaTheme="minorEastAsia" w:cstheme="minorBidi"/>
          <w:i w:val="0"/>
          <w:noProof/>
          <w:sz w:val="22"/>
          <w:lang w:eastAsia="cs-CZ"/>
        </w:rPr>
      </w:pPr>
      <w:hyperlink w:anchor="_Toc45113405" w:history="1">
        <w:r w:rsidR="0024153A" w:rsidRPr="00E54842">
          <w:rPr>
            <w:rStyle w:val="Hypertextovodkaz"/>
            <w:noProof/>
          </w:rPr>
          <w:t>ZPRÁVA O VZTAZÍCH MEZI PROPOJENÝMI OSOBAMI</w:t>
        </w:r>
        <w:r w:rsidR="0024153A">
          <w:rPr>
            <w:noProof/>
            <w:webHidden/>
          </w:rPr>
          <w:tab/>
        </w:r>
        <w:r w:rsidR="0024153A">
          <w:rPr>
            <w:noProof/>
            <w:webHidden/>
          </w:rPr>
          <w:fldChar w:fldCharType="begin"/>
        </w:r>
        <w:r w:rsidR="0024153A">
          <w:rPr>
            <w:noProof/>
            <w:webHidden/>
          </w:rPr>
          <w:instrText xml:space="preserve"> PAGEREF _Toc45113405 \h </w:instrText>
        </w:r>
        <w:r w:rsidR="0024153A">
          <w:rPr>
            <w:noProof/>
            <w:webHidden/>
          </w:rPr>
        </w:r>
        <w:r w:rsidR="0024153A">
          <w:rPr>
            <w:noProof/>
            <w:webHidden/>
          </w:rPr>
          <w:fldChar w:fldCharType="separate"/>
        </w:r>
        <w:r w:rsidR="00BE5DA6">
          <w:rPr>
            <w:noProof/>
            <w:webHidden/>
          </w:rPr>
          <w:t>22</w:t>
        </w:r>
        <w:r w:rsidR="0024153A">
          <w:rPr>
            <w:noProof/>
            <w:webHidden/>
          </w:rPr>
          <w:fldChar w:fldCharType="end"/>
        </w:r>
      </w:hyperlink>
    </w:p>
    <w:p w14:paraId="7197A67D" w14:textId="77777777" w:rsidR="0024153A" w:rsidRDefault="00C33361">
      <w:pPr>
        <w:pStyle w:val="Obsah1"/>
        <w:tabs>
          <w:tab w:val="right" w:leader="dot" w:pos="9062"/>
        </w:tabs>
        <w:rPr>
          <w:rFonts w:eastAsiaTheme="minorEastAsia" w:cstheme="minorBidi"/>
          <w:i w:val="0"/>
          <w:noProof/>
          <w:sz w:val="22"/>
          <w:lang w:eastAsia="cs-CZ"/>
        </w:rPr>
      </w:pPr>
      <w:hyperlink w:anchor="_Toc45113406" w:history="1">
        <w:r w:rsidR="0024153A" w:rsidRPr="00E54842">
          <w:rPr>
            <w:rStyle w:val="Hypertextovodkaz"/>
            <w:noProof/>
          </w:rPr>
          <w:t>VYJÁDŘENÍ DOZORČÍ RADY</w:t>
        </w:r>
        <w:r w:rsidR="0024153A">
          <w:rPr>
            <w:noProof/>
            <w:webHidden/>
          </w:rPr>
          <w:tab/>
        </w:r>
        <w:r w:rsidR="0024153A">
          <w:rPr>
            <w:noProof/>
            <w:webHidden/>
          </w:rPr>
          <w:fldChar w:fldCharType="begin"/>
        </w:r>
        <w:r w:rsidR="0024153A">
          <w:rPr>
            <w:noProof/>
            <w:webHidden/>
          </w:rPr>
          <w:instrText xml:space="preserve"> PAGEREF _Toc45113406 \h </w:instrText>
        </w:r>
        <w:r w:rsidR="0024153A">
          <w:rPr>
            <w:noProof/>
            <w:webHidden/>
          </w:rPr>
        </w:r>
        <w:r w:rsidR="0024153A">
          <w:rPr>
            <w:noProof/>
            <w:webHidden/>
          </w:rPr>
          <w:fldChar w:fldCharType="separate"/>
        </w:r>
        <w:r w:rsidR="00BE5DA6">
          <w:rPr>
            <w:noProof/>
            <w:webHidden/>
          </w:rPr>
          <w:t>30</w:t>
        </w:r>
        <w:r w:rsidR="0024153A">
          <w:rPr>
            <w:noProof/>
            <w:webHidden/>
          </w:rPr>
          <w:fldChar w:fldCharType="end"/>
        </w:r>
      </w:hyperlink>
    </w:p>
    <w:p w14:paraId="61DAF1EF" w14:textId="77777777" w:rsidR="0024153A" w:rsidRDefault="00C33361">
      <w:pPr>
        <w:pStyle w:val="Obsah1"/>
        <w:tabs>
          <w:tab w:val="right" w:leader="dot" w:pos="9062"/>
        </w:tabs>
        <w:rPr>
          <w:rFonts w:eastAsiaTheme="minorEastAsia" w:cstheme="minorBidi"/>
          <w:i w:val="0"/>
          <w:noProof/>
          <w:sz w:val="22"/>
          <w:lang w:eastAsia="cs-CZ"/>
        </w:rPr>
      </w:pPr>
      <w:hyperlink w:anchor="_Toc45113407" w:history="1">
        <w:r w:rsidR="0024153A" w:rsidRPr="00E54842">
          <w:rPr>
            <w:rStyle w:val="Hypertextovodkaz"/>
            <w:noProof/>
          </w:rPr>
          <w:t>KONTAKTNÍ INFORMACE</w:t>
        </w:r>
        <w:r w:rsidR="0024153A">
          <w:rPr>
            <w:noProof/>
            <w:webHidden/>
          </w:rPr>
          <w:tab/>
        </w:r>
        <w:r w:rsidR="0024153A">
          <w:rPr>
            <w:noProof/>
            <w:webHidden/>
          </w:rPr>
          <w:fldChar w:fldCharType="begin"/>
        </w:r>
        <w:r w:rsidR="0024153A">
          <w:rPr>
            <w:noProof/>
            <w:webHidden/>
          </w:rPr>
          <w:instrText xml:space="preserve"> PAGEREF _Toc45113407 \h </w:instrText>
        </w:r>
        <w:r w:rsidR="0024153A">
          <w:rPr>
            <w:noProof/>
            <w:webHidden/>
          </w:rPr>
        </w:r>
        <w:r w:rsidR="0024153A">
          <w:rPr>
            <w:noProof/>
            <w:webHidden/>
          </w:rPr>
          <w:fldChar w:fldCharType="separate"/>
        </w:r>
        <w:r w:rsidR="00BE5DA6">
          <w:rPr>
            <w:noProof/>
            <w:webHidden/>
          </w:rPr>
          <w:t>33</w:t>
        </w:r>
        <w:r w:rsidR="0024153A">
          <w:rPr>
            <w:noProof/>
            <w:webHidden/>
          </w:rPr>
          <w:fldChar w:fldCharType="end"/>
        </w:r>
      </w:hyperlink>
    </w:p>
    <w:p w14:paraId="278046A7" w14:textId="77777777" w:rsidR="00E96F0C" w:rsidRDefault="00D1483A">
      <w:pPr>
        <w:rPr>
          <w:sz w:val="56"/>
          <w:szCs w:val="56"/>
        </w:rPr>
      </w:pPr>
      <w:r w:rsidRPr="001A6F74">
        <w:rPr>
          <w:color w:val="FF0000"/>
          <w:sz w:val="56"/>
          <w:szCs w:val="56"/>
        </w:rPr>
        <w:fldChar w:fldCharType="end"/>
      </w:r>
    </w:p>
    <w:p w14:paraId="7F232C90" w14:textId="77777777" w:rsidR="00A51122" w:rsidRDefault="00A51122">
      <w:pPr>
        <w:rPr>
          <w:sz w:val="56"/>
          <w:szCs w:val="56"/>
        </w:rPr>
      </w:pPr>
    </w:p>
    <w:p w14:paraId="03717D7D" w14:textId="77777777" w:rsidR="00E96F0C" w:rsidRDefault="00F86634" w:rsidP="001A6F74">
      <w:pPr>
        <w:jc w:val="center"/>
        <w:rPr>
          <w:sz w:val="56"/>
          <w:szCs w:val="56"/>
        </w:rPr>
      </w:pPr>
      <w:r>
        <w:rPr>
          <w:noProof/>
          <w:lang w:eastAsia="cs-CZ"/>
        </w:rPr>
        <w:drawing>
          <wp:inline distT="0" distB="0" distL="0" distR="0" wp14:anchorId="1D5587BC" wp14:editId="754509CA">
            <wp:extent cx="4776716" cy="2333767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9896" cy="233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7CA8D" w14:textId="77777777" w:rsidR="00D1483A" w:rsidRDefault="00D1483A">
      <w:pPr>
        <w:rPr>
          <w:szCs w:val="24"/>
        </w:rPr>
      </w:pPr>
      <w:r>
        <w:rPr>
          <w:szCs w:val="24"/>
        </w:rPr>
        <w:br w:type="page"/>
      </w:r>
    </w:p>
    <w:p w14:paraId="5E524828" w14:textId="77777777" w:rsidR="00B85809" w:rsidRPr="00F86634" w:rsidRDefault="00D1483A" w:rsidP="00A07698">
      <w:pPr>
        <w:pStyle w:val="Nadpis1"/>
        <w:rPr>
          <w:color w:val="365F91" w:themeColor="accent1" w:themeShade="BF"/>
        </w:rPr>
      </w:pPr>
      <w:bookmarkStart w:id="0" w:name="_Toc45113400"/>
      <w:r w:rsidRPr="00F86634">
        <w:rPr>
          <w:color w:val="365F91" w:themeColor="accent1" w:themeShade="BF"/>
        </w:rPr>
        <w:lastRenderedPageBreak/>
        <w:t>ZPRÁVA PŘEDSTAVENSTVA</w:t>
      </w:r>
      <w:bookmarkEnd w:id="0"/>
    </w:p>
    <w:p w14:paraId="15A70492" w14:textId="77777777" w:rsidR="000804C4" w:rsidRPr="007944BD" w:rsidRDefault="000804C4" w:rsidP="000804C4">
      <w:pPr>
        <w:jc w:val="both"/>
        <w:rPr>
          <w:szCs w:val="24"/>
        </w:rPr>
      </w:pPr>
      <w:r w:rsidRPr="007944BD">
        <w:rPr>
          <w:szCs w:val="24"/>
        </w:rPr>
        <w:t>Vážení akcionáři,</w:t>
      </w:r>
    </w:p>
    <w:p w14:paraId="436706F1" w14:textId="77777777" w:rsidR="000804C4" w:rsidRPr="007944BD" w:rsidRDefault="000804C4" w:rsidP="000804C4">
      <w:pPr>
        <w:jc w:val="both"/>
        <w:rPr>
          <w:szCs w:val="24"/>
        </w:rPr>
      </w:pPr>
      <w:r w:rsidRPr="007944BD">
        <w:rPr>
          <w:szCs w:val="24"/>
        </w:rPr>
        <w:t>účetní hospodářský výsledek společnosti Český porcelán, a. s. za</w:t>
      </w:r>
      <w:r w:rsidR="00624B6D">
        <w:rPr>
          <w:szCs w:val="24"/>
        </w:rPr>
        <w:t xml:space="preserve"> rok 2019 je ztráta ve výši 20.923 tis. </w:t>
      </w:r>
      <w:r w:rsidRPr="007944BD">
        <w:rPr>
          <w:szCs w:val="24"/>
        </w:rPr>
        <w:t>Kč. Celková aktiva společnosti dosáhla účetní ho</w:t>
      </w:r>
      <w:r w:rsidR="00624B6D">
        <w:rPr>
          <w:szCs w:val="24"/>
        </w:rPr>
        <w:t>dnoty 144.540 tis. Kč. Výkonová </w:t>
      </w:r>
      <w:r w:rsidRPr="007944BD">
        <w:rPr>
          <w:szCs w:val="24"/>
        </w:rPr>
        <w:t>spotřeba, tzn. spotřeba materiálu, energie a služeb</w:t>
      </w:r>
      <w:r w:rsidR="00624B6D">
        <w:rPr>
          <w:szCs w:val="24"/>
        </w:rPr>
        <w:t xml:space="preserve"> činila za letošní rok 2019 63.279 tis. Kč, což je o 864 tis. </w:t>
      </w:r>
      <w:r w:rsidRPr="007944BD">
        <w:rPr>
          <w:szCs w:val="24"/>
        </w:rPr>
        <w:t>Kč více než v roce 2018. V roce 2019 byla vytvořena účetní finanční rezerva ve výši 4.000 tis.</w:t>
      </w:r>
      <w:r w:rsidR="00624B6D">
        <w:rPr>
          <w:szCs w:val="24"/>
        </w:rPr>
        <w:t xml:space="preserve"> Kč</w:t>
      </w:r>
      <w:r w:rsidRPr="007944BD">
        <w:rPr>
          <w:szCs w:val="24"/>
        </w:rPr>
        <w:t xml:space="preserve"> </w:t>
      </w:r>
    </w:p>
    <w:p w14:paraId="62822457" w14:textId="77777777" w:rsidR="000804C4" w:rsidRPr="007944BD" w:rsidRDefault="000804C4" w:rsidP="000804C4">
      <w:pPr>
        <w:jc w:val="both"/>
        <w:rPr>
          <w:szCs w:val="24"/>
        </w:rPr>
      </w:pPr>
      <w:r w:rsidRPr="007944BD">
        <w:rPr>
          <w:szCs w:val="24"/>
        </w:rPr>
        <w:t>Sledovaný rok pokračoval v negativní tendenci zákazníků, odebírajících podglazurovou dekoraci. Náš exklusivní partner z Japonska ve sledovaném období 2019 ukončil svoji činnost po 30 letech vzájemné spolupráce.</w:t>
      </w:r>
    </w:p>
    <w:p w14:paraId="35B900D0" w14:textId="77777777" w:rsidR="000804C4" w:rsidRPr="007944BD" w:rsidRDefault="009E169E" w:rsidP="000804C4">
      <w:pPr>
        <w:jc w:val="both"/>
        <w:rPr>
          <w:szCs w:val="24"/>
        </w:rPr>
      </w:pPr>
      <w:proofErr w:type="spellStart"/>
      <w:r>
        <w:rPr>
          <w:szCs w:val="24"/>
        </w:rPr>
        <w:t>Na</w:t>
      </w:r>
      <w:r w:rsidR="000804C4" w:rsidRPr="007944BD">
        <w:rPr>
          <w:szCs w:val="24"/>
        </w:rPr>
        <w:t>glazurová</w:t>
      </w:r>
      <w:proofErr w:type="spellEnd"/>
      <w:r w:rsidR="000804C4" w:rsidRPr="007944BD">
        <w:rPr>
          <w:szCs w:val="24"/>
        </w:rPr>
        <w:t xml:space="preserve"> dekorace na bílé hrnky s vysokou strojní kapa</w:t>
      </w:r>
      <w:r w:rsidR="00624B6D">
        <w:rPr>
          <w:szCs w:val="24"/>
        </w:rPr>
        <w:t>citou se orientovala zejména do </w:t>
      </w:r>
      <w:r w:rsidR="000804C4" w:rsidRPr="007944BD">
        <w:rPr>
          <w:szCs w:val="24"/>
        </w:rPr>
        <w:t>sousedního Německa s velkou tendencí snižovat zájem o</w:t>
      </w:r>
      <w:r w:rsidR="00624B6D">
        <w:rPr>
          <w:szCs w:val="24"/>
        </w:rPr>
        <w:t xml:space="preserve"> dekoraci a dodávat hrnky zcela </w:t>
      </w:r>
      <w:r w:rsidR="000804C4" w:rsidRPr="007944BD">
        <w:rPr>
          <w:szCs w:val="24"/>
        </w:rPr>
        <w:t>bílé, což snižovalo jejich cenu.</w:t>
      </w:r>
    </w:p>
    <w:p w14:paraId="1560F1EC" w14:textId="77777777" w:rsidR="000804C4" w:rsidRPr="007944BD" w:rsidRDefault="000804C4" w:rsidP="000804C4">
      <w:pPr>
        <w:jc w:val="both"/>
        <w:rPr>
          <w:szCs w:val="24"/>
        </w:rPr>
      </w:pPr>
      <w:r w:rsidRPr="007944BD">
        <w:rPr>
          <w:szCs w:val="24"/>
        </w:rPr>
        <w:t>To vše vedlo ve výsledcích obchodní činnosti v r. 2019 k neuspokojivému hodnocení. Vytrvale hledáme cesty s důrazem na snížení nákladů a inova</w:t>
      </w:r>
      <w:r w:rsidR="00624B6D">
        <w:rPr>
          <w:szCs w:val="24"/>
        </w:rPr>
        <w:t xml:space="preserve">ci výrobků. V modré výrobě bylo </w:t>
      </w:r>
      <w:r w:rsidRPr="007944BD">
        <w:rPr>
          <w:szCs w:val="24"/>
        </w:rPr>
        <w:t>zavedeno celkem sedm nových výrobků a bílé výrobě pak bylo zavedeno deset nových tvarů.</w:t>
      </w:r>
    </w:p>
    <w:p w14:paraId="432DB3B7" w14:textId="77777777" w:rsidR="000804C4" w:rsidRPr="007944BD" w:rsidRDefault="000804C4" w:rsidP="000804C4">
      <w:pPr>
        <w:jc w:val="both"/>
        <w:rPr>
          <w:szCs w:val="24"/>
        </w:rPr>
      </w:pPr>
      <w:r w:rsidRPr="007944BD">
        <w:rPr>
          <w:szCs w:val="24"/>
        </w:rPr>
        <w:t xml:space="preserve">Loňský rok byl také rokem, kdy firma ČP oslavila 155. výročí od svého vzniku. K tomuto výročí byla vyrobena porcelánová fontána, dle návrhu </w:t>
      </w:r>
      <w:r w:rsidR="00624B6D">
        <w:rPr>
          <w:szCs w:val="24"/>
        </w:rPr>
        <w:t>a</w:t>
      </w:r>
      <w:r w:rsidRPr="007944BD">
        <w:rPr>
          <w:szCs w:val="24"/>
        </w:rPr>
        <w:t>k</w:t>
      </w:r>
      <w:r w:rsidR="00624B6D">
        <w:rPr>
          <w:szCs w:val="24"/>
        </w:rPr>
        <w:t>ademického</w:t>
      </w:r>
      <w:r w:rsidRPr="007944BD">
        <w:rPr>
          <w:szCs w:val="24"/>
        </w:rPr>
        <w:t xml:space="preserve"> sochaře pana Laštovičky, která byla instalována v areálu Českého porcelánu</w:t>
      </w:r>
      <w:r w:rsidR="00624B6D">
        <w:rPr>
          <w:szCs w:val="24"/>
        </w:rPr>
        <w:t>,</w:t>
      </w:r>
      <w:r w:rsidRPr="007944BD">
        <w:rPr>
          <w:szCs w:val="24"/>
        </w:rPr>
        <w:t xml:space="preserve"> a.s.</w:t>
      </w:r>
    </w:p>
    <w:p w14:paraId="4B544A2C" w14:textId="77777777" w:rsidR="000804C4" w:rsidRPr="007944BD" w:rsidRDefault="000804C4" w:rsidP="000804C4">
      <w:pPr>
        <w:jc w:val="both"/>
        <w:rPr>
          <w:szCs w:val="24"/>
        </w:rPr>
      </w:pPr>
      <w:r w:rsidRPr="007944BD">
        <w:rPr>
          <w:szCs w:val="24"/>
        </w:rPr>
        <w:t>Plánovaná investice spočívající ve výstavbě nové kotelny se vlivem nedostatku finančních prostředků neuskutečnila.</w:t>
      </w:r>
    </w:p>
    <w:p w14:paraId="7BAE59E4" w14:textId="77777777" w:rsidR="000804C4" w:rsidRPr="007944BD" w:rsidRDefault="000804C4" w:rsidP="000804C4">
      <w:pPr>
        <w:jc w:val="both"/>
        <w:rPr>
          <w:szCs w:val="24"/>
        </w:rPr>
      </w:pPr>
      <w:r w:rsidRPr="007944BD">
        <w:rPr>
          <w:szCs w:val="24"/>
        </w:rPr>
        <w:t>Vliv prodeje ze závodu Duchcov a Dubí ve výši 135.319 tis.</w:t>
      </w:r>
      <w:r w:rsidR="00624B6D">
        <w:rPr>
          <w:szCs w:val="24"/>
        </w:rPr>
        <w:t xml:space="preserve"> Kč</w:t>
      </w:r>
      <w:r w:rsidRPr="007944BD">
        <w:rPr>
          <w:szCs w:val="24"/>
        </w:rPr>
        <w:t xml:space="preserve"> nedosáhl plánu o 26.268 tis. Kč. Bohužel tato tendence přetrvává, a proto jsme začali spolupracovat s Czech </w:t>
      </w:r>
      <w:proofErr w:type="spellStart"/>
      <w:r w:rsidRPr="007944BD">
        <w:rPr>
          <w:szCs w:val="24"/>
        </w:rPr>
        <w:t>Trade</w:t>
      </w:r>
      <w:proofErr w:type="spellEnd"/>
      <w:r w:rsidRPr="007944BD">
        <w:rPr>
          <w:szCs w:val="24"/>
        </w:rPr>
        <w:t xml:space="preserve"> a hledáme nová odbytiště v zahraničí, neboť tuzemský prodej stále stagnuje.</w:t>
      </w:r>
    </w:p>
    <w:p w14:paraId="6ABB6CD9" w14:textId="77777777" w:rsidR="000804C4" w:rsidRPr="00E20013" w:rsidRDefault="000804C4" w:rsidP="000804C4">
      <w:pPr>
        <w:jc w:val="both"/>
        <w:rPr>
          <w:szCs w:val="24"/>
        </w:rPr>
      </w:pPr>
      <w:r w:rsidRPr="007944BD">
        <w:rPr>
          <w:szCs w:val="24"/>
        </w:rPr>
        <w:t>Společnost Český porcelán v roce 2019 zaměstnávala celkem</w:t>
      </w:r>
      <w:r w:rsidR="00624B6D">
        <w:rPr>
          <w:szCs w:val="24"/>
        </w:rPr>
        <w:t xml:space="preserve"> 246 zaměstnanců, z toho je 215 </w:t>
      </w:r>
      <w:r w:rsidRPr="007944BD">
        <w:rPr>
          <w:szCs w:val="24"/>
        </w:rPr>
        <w:t xml:space="preserve">s potřebnou kvalifikací. Společnosti se také podařilo otevřít učební obor keramická výroba. Průměrná měsíční mzda se v roce 2019 zvýšila </w:t>
      </w:r>
      <w:r w:rsidRPr="00E20013">
        <w:rPr>
          <w:szCs w:val="24"/>
        </w:rPr>
        <w:t>o nárůst 1.626,</w:t>
      </w:r>
      <w:r w:rsidR="00624B6D" w:rsidRPr="00E20013">
        <w:rPr>
          <w:szCs w:val="24"/>
        </w:rPr>
        <w:t>- Kč na celkový průměr 21.541,-</w:t>
      </w:r>
      <w:r w:rsidR="00972FC1" w:rsidRPr="00E20013">
        <w:rPr>
          <w:szCs w:val="24"/>
        </w:rPr>
        <w:t xml:space="preserve"> </w:t>
      </w:r>
      <w:r w:rsidRPr="00E20013">
        <w:rPr>
          <w:szCs w:val="24"/>
        </w:rPr>
        <w:t>Kč. Souběžně s tím však nedošlo ke zvýšení produktivity práce.</w:t>
      </w:r>
    </w:p>
    <w:p w14:paraId="334BA5C3" w14:textId="77777777" w:rsidR="000804C4" w:rsidRPr="007944BD" w:rsidRDefault="000804C4" w:rsidP="000804C4">
      <w:pPr>
        <w:jc w:val="both"/>
        <w:rPr>
          <w:szCs w:val="24"/>
        </w:rPr>
      </w:pPr>
      <w:r w:rsidRPr="007944BD">
        <w:rPr>
          <w:szCs w:val="24"/>
        </w:rPr>
        <w:t>Vážení akcionáři, dosavadní zkušenosti s výsledky v trž</w:t>
      </w:r>
      <w:r w:rsidR="00624B6D">
        <w:rPr>
          <w:szCs w:val="24"/>
        </w:rPr>
        <w:t>bách v letošním roce nesvědčí o </w:t>
      </w:r>
      <w:r w:rsidRPr="007944BD">
        <w:rPr>
          <w:szCs w:val="24"/>
        </w:rPr>
        <w:t>potřebném obratu, jak v tuzemsku, tak i vývozu. Čeká nás mnoho činností k získání nových odbytových směrů, na čemž intenzivně pracujeme, a věříme, že se nám to podaří.</w:t>
      </w:r>
    </w:p>
    <w:p w14:paraId="7822F703" w14:textId="77777777" w:rsidR="000804C4" w:rsidRPr="007944BD" w:rsidRDefault="000804C4" w:rsidP="000804C4">
      <w:pPr>
        <w:spacing w:after="0" w:line="240" w:lineRule="auto"/>
        <w:jc w:val="both"/>
      </w:pPr>
      <w:r w:rsidRPr="007944BD">
        <w:t xml:space="preserve">Ing. Vladimír </w:t>
      </w:r>
      <w:proofErr w:type="spellStart"/>
      <w:r w:rsidRPr="007944BD">
        <w:t>Feix</w:t>
      </w:r>
      <w:proofErr w:type="spellEnd"/>
      <w:r w:rsidRPr="007944BD">
        <w:t>, dr. h. c.</w:t>
      </w:r>
    </w:p>
    <w:p w14:paraId="706B31BC" w14:textId="77777777" w:rsidR="000804C4" w:rsidRPr="007944BD" w:rsidRDefault="000804C4" w:rsidP="000804C4">
      <w:pPr>
        <w:spacing w:after="0" w:line="240" w:lineRule="auto"/>
        <w:jc w:val="both"/>
      </w:pPr>
      <w:r w:rsidRPr="007944BD">
        <w:t>předseda představenstva</w:t>
      </w:r>
    </w:p>
    <w:p w14:paraId="5B5FFF0B" w14:textId="77777777" w:rsidR="000804C4" w:rsidRPr="007944BD" w:rsidRDefault="000804C4" w:rsidP="000804C4">
      <w:pPr>
        <w:spacing w:after="0" w:line="240" w:lineRule="auto"/>
        <w:jc w:val="both"/>
      </w:pPr>
      <w:r w:rsidRPr="007944BD">
        <w:t>a generální ředitel</w:t>
      </w:r>
    </w:p>
    <w:p w14:paraId="0CC82BAE" w14:textId="77777777" w:rsidR="00E61CCB" w:rsidRPr="00F86634" w:rsidRDefault="00D1483A" w:rsidP="0042600F">
      <w:pPr>
        <w:pStyle w:val="Nadpis1"/>
        <w:rPr>
          <w:color w:val="365F91" w:themeColor="accent1" w:themeShade="BF"/>
        </w:rPr>
      </w:pPr>
      <w:bookmarkStart w:id="1" w:name="_Toc45113401"/>
      <w:r w:rsidRPr="00F86634">
        <w:rPr>
          <w:color w:val="365F91" w:themeColor="accent1" w:themeShade="BF"/>
        </w:rPr>
        <w:lastRenderedPageBreak/>
        <w:t>ZÁKLADNÍ ÚDAJE O SPOLEČNOST</w:t>
      </w:r>
      <w:r w:rsidR="00D75937" w:rsidRPr="00F86634">
        <w:rPr>
          <w:color w:val="365F91" w:themeColor="accent1" w:themeShade="BF"/>
        </w:rPr>
        <w:t>I</w:t>
      </w:r>
      <w:bookmarkEnd w:id="1"/>
    </w:p>
    <w:p w14:paraId="76406E27" w14:textId="77777777" w:rsidR="00C854A8" w:rsidRPr="00945A6F" w:rsidRDefault="00C854A8" w:rsidP="003D0559">
      <w:pPr>
        <w:spacing w:after="0" w:line="240" w:lineRule="auto"/>
        <w:rPr>
          <w:b/>
          <w:bCs/>
          <w:color w:val="000000" w:themeColor="text1"/>
        </w:rPr>
      </w:pPr>
    </w:p>
    <w:p w14:paraId="20CEB3FF" w14:textId="77777777" w:rsidR="003D0559" w:rsidRPr="00945A6F" w:rsidRDefault="003D0559" w:rsidP="00945A6F">
      <w:pPr>
        <w:spacing w:after="0" w:line="240" w:lineRule="auto"/>
        <w:jc w:val="both"/>
        <w:rPr>
          <w:color w:val="000000" w:themeColor="text1"/>
        </w:rPr>
      </w:pPr>
      <w:r w:rsidRPr="00945A6F">
        <w:rPr>
          <w:b/>
          <w:bCs/>
          <w:color w:val="000000" w:themeColor="text1"/>
        </w:rPr>
        <w:t xml:space="preserve">Název: </w:t>
      </w:r>
      <w:r w:rsidRPr="00945A6F">
        <w:rPr>
          <w:color w:val="000000" w:themeColor="text1"/>
        </w:rPr>
        <w:t>Čes</w:t>
      </w:r>
      <w:r w:rsidR="00C27809">
        <w:rPr>
          <w:color w:val="000000" w:themeColor="text1"/>
        </w:rPr>
        <w:t>ký porcelán, akciová společnost</w:t>
      </w:r>
    </w:p>
    <w:p w14:paraId="34DC11C8" w14:textId="77777777" w:rsidR="003D0559" w:rsidRPr="00945A6F" w:rsidRDefault="003D0559" w:rsidP="00945A6F">
      <w:pPr>
        <w:spacing w:after="0" w:line="240" w:lineRule="auto"/>
        <w:jc w:val="both"/>
        <w:rPr>
          <w:color w:val="000000" w:themeColor="text1"/>
        </w:rPr>
      </w:pPr>
      <w:r w:rsidRPr="00945A6F">
        <w:rPr>
          <w:b/>
          <w:bCs/>
          <w:color w:val="000000" w:themeColor="text1"/>
        </w:rPr>
        <w:t xml:space="preserve">Sídlo: </w:t>
      </w:r>
      <w:r w:rsidRPr="00945A6F">
        <w:rPr>
          <w:color w:val="000000" w:themeColor="text1"/>
        </w:rPr>
        <w:t>Dubí, Tovární 605</w:t>
      </w:r>
      <w:r w:rsidR="00043B2E">
        <w:rPr>
          <w:color w:val="000000" w:themeColor="text1"/>
        </w:rPr>
        <w:t>/17</w:t>
      </w:r>
      <w:r w:rsidRPr="00945A6F">
        <w:rPr>
          <w:color w:val="000000" w:themeColor="text1"/>
        </w:rPr>
        <w:t>, PSČ 417 01</w:t>
      </w:r>
    </w:p>
    <w:p w14:paraId="79A2FED1" w14:textId="77777777" w:rsidR="003D0559" w:rsidRPr="00945A6F" w:rsidRDefault="003D0559" w:rsidP="00945A6F">
      <w:pPr>
        <w:spacing w:after="0" w:line="240" w:lineRule="auto"/>
        <w:jc w:val="both"/>
        <w:rPr>
          <w:color w:val="000000" w:themeColor="text1"/>
        </w:rPr>
      </w:pPr>
      <w:r w:rsidRPr="00945A6F">
        <w:rPr>
          <w:b/>
          <w:bCs/>
          <w:color w:val="000000" w:themeColor="text1"/>
        </w:rPr>
        <w:t xml:space="preserve">Identifikační číslo organizace: </w:t>
      </w:r>
      <w:r w:rsidRPr="00945A6F">
        <w:rPr>
          <w:color w:val="000000" w:themeColor="text1"/>
        </w:rPr>
        <w:t>00174238</w:t>
      </w:r>
    </w:p>
    <w:p w14:paraId="7D169DF8" w14:textId="77777777" w:rsidR="003D0559" w:rsidRPr="00945A6F" w:rsidRDefault="003D0559" w:rsidP="00945A6F">
      <w:pPr>
        <w:spacing w:after="0" w:line="240" w:lineRule="auto"/>
        <w:jc w:val="both"/>
        <w:rPr>
          <w:color w:val="000000" w:themeColor="text1"/>
        </w:rPr>
      </w:pPr>
      <w:r w:rsidRPr="00945A6F">
        <w:rPr>
          <w:b/>
          <w:bCs/>
          <w:color w:val="000000" w:themeColor="text1"/>
        </w:rPr>
        <w:t xml:space="preserve">Datum založení: </w:t>
      </w:r>
      <w:r w:rsidRPr="00945A6F">
        <w:rPr>
          <w:color w:val="000000" w:themeColor="text1"/>
        </w:rPr>
        <w:t>15. 3. 1991 podle zákona č. 104/1990 Sb. o akciových společnostech</w:t>
      </w:r>
      <w:r w:rsidR="004E2F90" w:rsidRPr="00945A6F">
        <w:rPr>
          <w:color w:val="000000" w:themeColor="text1"/>
        </w:rPr>
        <w:t>.</w:t>
      </w:r>
    </w:p>
    <w:p w14:paraId="67B731A5" w14:textId="77777777" w:rsidR="003D0559" w:rsidRPr="00945A6F" w:rsidRDefault="003D0559" w:rsidP="00945A6F">
      <w:pPr>
        <w:spacing w:after="0" w:line="240" w:lineRule="auto"/>
        <w:jc w:val="both"/>
        <w:rPr>
          <w:color w:val="000000" w:themeColor="text1"/>
        </w:rPr>
      </w:pPr>
      <w:r w:rsidRPr="00945A6F">
        <w:rPr>
          <w:color w:val="000000" w:themeColor="text1"/>
        </w:rPr>
        <w:t>Společnost byla založena na dobu neurčitou a je zapsána v oddíle B, vložka 101</w:t>
      </w:r>
      <w:r w:rsidR="00945A6F" w:rsidRPr="00945A6F">
        <w:rPr>
          <w:color w:val="000000" w:themeColor="text1"/>
        </w:rPr>
        <w:t xml:space="preserve"> u </w:t>
      </w:r>
      <w:r w:rsidRPr="00945A6F">
        <w:rPr>
          <w:color w:val="000000" w:themeColor="text1"/>
        </w:rPr>
        <w:t>rejstříkového soudu vedeného Krajským soudem v Ústí nad Labem.</w:t>
      </w:r>
    </w:p>
    <w:p w14:paraId="79F87F33" w14:textId="77777777" w:rsidR="003D0559" w:rsidRPr="00945A6F" w:rsidRDefault="003D0559" w:rsidP="00945A6F">
      <w:pPr>
        <w:spacing w:after="0" w:line="240" w:lineRule="auto"/>
        <w:jc w:val="both"/>
        <w:rPr>
          <w:color w:val="000000" w:themeColor="text1"/>
        </w:rPr>
      </w:pPr>
    </w:p>
    <w:p w14:paraId="4D34B5D2" w14:textId="77777777" w:rsidR="003D0559" w:rsidRPr="00945A6F" w:rsidRDefault="003D0559" w:rsidP="00945A6F">
      <w:pPr>
        <w:spacing w:after="0" w:line="240" w:lineRule="auto"/>
        <w:jc w:val="both"/>
        <w:rPr>
          <w:color w:val="000000" w:themeColor="text1"/>
        </w:rPr>
      </w:pPr>
      <w:r w:rsidRPr="00945A6F">
        <w:rPr>
          <w:color w:val="000000" w:themeColor="text1"/>
        </w:rPr>
        <w:t>Český porcelán, akciová společnost je řádným členem Asociace sklářského a keramického průmyslu ČR a Svazu průmyslu a dopravy ČR. V okresním měřítku je členem Hospodářské komory a Hospodářské a sociální rady města Teplic. Je rovněž zakládajícím členem organizace APEC  zabývající se elektronickým obchodem.</w:t>
      </w:r>
    </w:p>
    <w:p w14:paraId="7A302183" w14:textId="77777777" w:rsidR="003D0559" w:rsidRPr="00945A6F" w:rsidRDefault="003D0559" w:rsidP="00945A6F">
      <w:pPr>
        <w:spacing w:after="0" w:line="240" w:lineRule="auto"/>
        <w:jc w:val="both"/>
        <w:rPr>
          <w:color w:val="000000" w:themeColor="text1"/>
        </w:rPr>
      </w:pPr>
    </w:p>
    <w:p w14:paraId="238291D5" w14:textId="77777777" w:rsidR="00945A6F" w:rsidRPr="00945A6F" w:rsidRDefault="003D0559" w:rsidP="00945A6F">
      <w:pPr>
        <w:spacing w:after="0" w:line="240" w:lineRule="auto"/>
        <w:jc w:val="both"/>
        <w:rPr>
          <w:b/>
          <w:bCs/>
          <w:color w:val="000000" w:themeColor="text1"/>
        </w:rPr>
      </w:pPr>
      <w:r w:rsidRPr="00945A6F">
        <w:rPr>
          <w:b/>
          <w:bCs/>
          <w:color w:val="000000" w:themeColor="text1"/>
        </w:rPr>
        <w:t>Předmět činnosti společnosti podle Obchodního rejstříku:</w:t>
      </w:r>
    </w:p>
    <w:p w14:paraId="632159F0" w14:textId="77777777" w:rsidR="00945A6F" w:rsidRPr="00945A6F" w:rsidRDefault="003D0559" w:rsidP="00945A6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945A6F">
        <w:rPr>
          <w:color w:val="000000" w:themeColor="text1"/>
        </w:rPr>
        <w:t>výroba, obchod a služby neuvedené v přílohách 1 až 3 živnostenského zákona</w:t>
      </w:r>
    </w:p>
    <w:p w14:paraId="118449EC" w14:textId="77777777" w:rsidR="00945A6F" w:rsidRPr="00945A6F" w:rsidRDefault="003D0559" w:rsidP="00945A6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945A6F">
        <w:rPr>
          <w:color w:val="000000" w:themeColor="text1"/>
        </w:rPr>
        <w:t>hostinská činnost</w:t>
      </w:r>
    </w:p>
    <w:p w14:paraId="1B148E45" w14:textId="77777777" w:rsidR="00945A6F" w:rsidRPr="00945A6F" w:rsidRDefault="005C1783" w:rsidP="00945A6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945A6F">
        <w:rPr>
          <w:color w:val="000000" w:themeColor="text1"/>
        </w:rPr>
        <w:t xml:space="preserve">silniční motorová doprava - </w:t>
      </w:r>
      <w:r w:rsidR="003D0559" w:rsidRPr="00945A6F">
        <w:rPr>
          <w:color w:val="000000" w:themeColor="text1"/>
        </w:rPr>
        <w:t>nákladní provozovaná vo</w:t>
      </w:r>
      <w:r w:rsidR="00C146B2" w:rsidRPr="00945A6F">
        <w:rPr>
          <w:color w:val="000000" w:themeColor="text1"/>
        </w:rPr>
        <w:t>zi</w:t>
      </w:r>
      <w:r w:rsidR="00945A6F" w:rsidRPr="00945A6F">
        <w:rPr>
          <w:color w:val="000000" w:themeColor="text1"/>
        </w:rPr>
        <w:t>dly nebo jízdními soupravami o </w:t>
      </w:r>
      <w:r w:rsidR="003D0559" w:rsidRPr="00945A6F">
        <w:rPr>
          <w:color w:val="000000" w:themeColor="text1"/>
        </w:rPr>
        <w:t>největší povolené hmotnosti přesahující 3,5 tuny, jsou-li určeny k přepravě zvířat</w:t>
      </w:r>
      <w:r w:rsidR="00945A6F" w:rsidRPr="00945A6F">
        <w:rPr>
          <w:color w:val="000000" w:themeColor="text1"/>
        </w:rPr>
        <w:t xml:space="preserve"> </w:t>
      </w:r>
      <w:r w:rsidR="003D0559" w:rsidRPr="00945A6F">
        <w:rPr>
          <w:color w:val="000000" w:themeColor="text1"/>
        </w:rPr>
        <w:t>nebo věcí</w:t>
      </w:r>
    </w:p>
    <w:p w14:paraId="7EA2B4FE" w14:textId="77777777" w:rsidR="00945A6F" w:rsidRPr="00945A6F" w:rsidRDefault="003D0559" w:rsidP="00945A6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945A6F">
        <w:rPr>
          <w:color w:val="000000" w:themeColor="text1"/>
        </w:rPr>
        <w:t>osobní doprava provozovaná vozidly určenými pro přepravu nejvýše 9 osob včetně řidiče</w:t>
      </w:r>
    </w:p>
    <w:p w14:paraId="430682DD" w14:textId="77777777" w:rsidR="00945A6F" w:rsidRPr="00945A6F" w:rsidRDefault="003D0559" w:rsidP="00945A6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945A6F">
        <w:rPr>
          <w:color w:val="000000" w:themeColor="text1"/>
        </w:rPr>
        <w:t>vedení účetnictví</w:t>
      </w:r>
    </w:p>
    <w:p w14:paraId="6BD7253C" w14:textId="77777777" w:rsidR="00945A6F" w:rsidRPr="00945A6F" w:rsidRDefault="003D0559" w:rsidP="00945A6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945A6F">
        <w:rPr>
          <w:color w:val="000000" w:themeColor="text1"/>
        </w:rPr>
        <w:t>vedení daňové evidence</w:t>
      </w:r>
    </w:p>
    <w:p w14:paraId="37BC5D8B" w14:textId="77777777" w:rsidR="003D0559" w:rsidRPr="00945A6F" w:rsidRDefault="003D0559" w:rsidP="00945A6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945A6F">
        <w:rPr>
          <w:color w:val="000000" w:themeColor="text1"/>
        </w:rPr>
        <w:t>pronájem nemovitostí, bytů a nebytových prostor</w:t>
      </w:r>
    </w:p>
    <w:p w14:paraId="505D62F4" w14:textId="77777777" w:rsidR="003D0559" w:rsidRPr="00945A6F" w:rsidRDefault="003D0559" w:rsidP="00945A6F">
      <w:pPr>
        <w:spacing w:after="0" w:line="240" w:lineRule="auto"/>
        <w:jc w:val="both"/>
        <w:rPr>
          <w:color w:val="000000" w:themeColor="text1"/>
        </w:rPr>
      </w:pPr>
    </w:p>
    <w:p w14:paraId="29AA1318" w14:textId="77777777" w:rsidR="00945A6F" w:rsidRPr="00041218" w:rsidRDefault="003D0559" w:rsidP="00945A6F">
      <w:pPr>
        <w:spacing w:after="0" w:line="240" w:lineRule="auto"/>
        <w:jc w:val="both"/>
        <w:rPr>
          <w:b/>
          <w:bCs/>
        </w:rPr>
      </w:pPr>
      <w:r w:rsidRPr="00041218">
        <w:rPr>
          <w:b/>
          <w:bCs/>
        </w:rPr>
        <w:t>Údaje o základním kapitálu:</w:t>
      </w:r>
    </w:p>
    <w:p w14:paraId="7CAB3B22" w14:textId="77777777" w:rsidR="003D0559" w:rsidRPr="00041218" w:rsidRDefault="003D0559" w:rsidP="00945A6F">
      <w:pPr>
        <w:spacing w:after="0" w:line="240" w:lineRule="auto"/>
        <w:jc w:val="both"/>
      </w:pPr>
      <w:r w:rsidRPr="00041218">
        <w:rPr>
          <w:b/>
          <w:bCs/>
        </w:rPr>
        <w:t>Základní kapitál:</w:t>
      </w:r>
      <w:r w:rsidRPr="00041218">
        <w:tab/>
      </w:r>
      <w:r w:rsidRPr="00041218">
        <w:tab/>
      </w:r>
      <w:r w:rsidRPr="00041218">
        <w:tab/>
      </w:r>
      <w:r w:rsidRPr="00041218">
        <w:tab/>
        <w:t>10</w:t>
      </w:r>
      <w:r w:rsidR="00004920" w:rsidRPr="00041218">
        <w:t xml:space="preserve">1 314 </w:t>
      </w:r>
      <w:r w:rsidR="00E20013">
        <w:t>550</w:t>
      </w:r>
      <w:r w:rsidRPr="00041218">
        <w:t> Kč.</w:t>
      </w:r>
    </w:p>
    <w:p w14:paraId="50088920" w14:textId="77777777" w:rsidR="003D0559" w:rsidRPr="00041218" w:rsidRDefault="003D0559" w:rsidP="00945A6F">
      <w:pPr>
        <w:spacing w:after="0" w:line="240" w:lineRule="auto"/>
        <w:jc w:val="both"/>
      </w:pPr>
    </w:p>
    <w:p w14:paraId="7281818A" w14:textId="77777777" w:rsidR="003D0559" w:rsidRPr="00041218" w:rsidRDefault="003D0559" w:rsidP="00945A6F">
      <w:pPr>
        <w:spacing w:after="0" w:line="240" w:lineRule="auto"/>
        <w:jc w:val="both"/>
      </w:pPr>
      <w:r w:rsidRPr="00041218">
        <w:rPr>
          <w:b/>
          <w:bCs/>
        </w:rPr>
        <w:t>Akcionáři s podílem na základním kapitálu vyšším než 10 %:</w:t>
      </w:r>
    </w:p>
    <w:p w14:paraId="6D538111" w14:textId="77777777" w:rsidR="00AC2A88" w:rsidRPr="00041218" w:rsidRDefault="00AC2A88" w:rsidP="00945A6F">
      <w:pPr>
        <w:numPr>
          <w:ilvl w:val="0"/>
          <w:numId w:val="1"/>
        </w:numPr>
        <w:spacing w:after="0" w:line="240" w:lineRule="auto"/>
        <w:jc w:val="both"/>
      </w:pPr>
      <w:r w:rsidRPr="00041218">
        <w:t xml:space="preserve">Ing. Vladimír </w:t>
      </w:r>
      <w:proofErr w:type="spellStart"/>
      <w:r w:rsidRPr="00041218">
        <w:t>Feix</w:t>
      </w:r>
      <w:proofErr w:type="spellEnd"/>
      <w:r w:rsidRPr="00041218">
        <w:t>, dr. h. c.</w:t>
      </w:r>
      <w:r w:rsidRPr="00041218">
        <w:tab/>
      </w:r>
      <w:r w:rsidRPr="00041218">
        <w:tab/>
        <w:t>4</w:t>
      </w:r>
      <w:r w:rsidR="00BC77C4" w:rsidRPr="00041218">
        <w:t>7</w:t>
      </w:r>
      <w:r w:rsidRPr="00041218">
        <w:t>,</w:t>
      </w:r>
      <w:r w:rsidR="00BC77C4" w:rsidRPr="00041218">
        <w:t>78</w:t>
      </w:r>
      <w:r w:rsidRPr="00041218">
        <w:t xml:space="preserve"> %</w:t>
      </w:r>
    </w:p>
    <w:p w14:paraId="378B65C8" w14:textId="77777777" w:rsidR="00AC2A88" w:rsidRPr="00041218" w:rsidRDefault="00AC2A88" w:rsidP="00945A6F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041218">
        <w:t>Garkalne</w:t>
      </w:r>
      <w:proofErr w:type="spellEnd"/>
      <w:r w:rsidRPr="00041218">
        <w:t xml:space="preserve"> Limited, </w:t>
      </w:r>
      <w:proofErr w:type="spellStart"/>
      <w:r w:rsidRPr="00041218">
        <w:t>Nicosia</w:t>
      </w:r>
      <w:proofErr w:type="spellEnd"/>
      <w:r w:rsidRPr="00041218">
        <w:tab/>
      </w:r>
      <w:r w:rsidRPr="00041218">
        <w:tab/>
        <w:t>24,70 %</w:t>
      </w:r>
    </w:p>
    <w:p w14:paraId="79CC8631" w14:textId="77777777" w:rsidR="00AC2A88" w:rsidRPr="00041218" w:rsidRDefault="003D0559" w:rsidP="00945A6F">
      <w:pPr>
        <w:numPr>
          <w:ilvl w:val="0"/>
          <w:numId w:val="1"/>
        </w:numPr>
        <w:spacing w:after="0" w:line="240" w:lineRule="auto"/>
        <w:jc w:val="both"/>
      </w:pPr>
      <w:r w:rsidRPr="00041218">
        <w:t>Dům porcelánu, s. r. o.</w:t>
      </w:r>
      <w:r w:rsidRPr="00041218">
        <w:tab/>
      </w:r>
      <w:r w:rsidRPr="00041218">
        <w:tab/>
      </w:r>
      <w:r w:rsidR="00AC2A88" w:rsidRPr="00041218">
        <w:t>18,81 %</w:t>
      </w:r>
    </w:p>
    <w:p w14:paraId="3644EC27" w14:textId="77777777" w:rsidR="00C146B2" w:rsidRPr="00BC77C4" w:rsidRDefault="00C146B2" w:rsidP="00945A6F">
      <w:pPr>
        <w:spacing w:after="0" w:line="240" w:lineRule="auto"/>
        <w:jc w:val="both"/>
        <w:rPr>
          <w:color w:val="000000" w:themeColor="text1"/>
        </w:rPr>
      </w:pPr>
    </w:p>
    <w:p w14:paraId="0D2472CE" w14:textId="77777777" w:rsidR="003D0559" w:rsidRPr="00BC77C4" w:rsidRDefault="003D0559" w:rsidP="00945A6F">
      <w:pPr>
        <w:spacing w:after="0" w:line="240" w:lineRule="auto"/>
        <w:jc w:val="both"/>
        <w:rPr>
          <w:color w:val="000000" w:themeColor="text1"/>
        </w:rPr>
      </w:pPr>
      <w:r w:rsidRPr="00BC77C4">
        <w:rPr>
          <w:color w:val="000000" w:themeColor="text1"/>
        </w:rPr>
        <w:t>Český porcelán, akciová společnost není součástí konsolidačního celku.</w:t>
      </w:r>
    </w:p>
    <w:p w14:paraId="4A550C1F" w14:textId="77777777" w:rsidR="00C146B2" w:rsidRPr="00BC77C4" w:rsidRDefault="00C146B2" w:rsidP="00945A6F">
      <w:pPr>
        <w:spacing w:after="0" w:line="240" w:lineRule="auto"/>
        <w:jc w:val="both"/>
        <w:rPr>
          <w:color w:val="000000" w:themeColor="text1"/>
        </w:rPr>
      </w:pPr>
    </w:p>
    <w:p w14:paraId="3BBEDF72" w14:textId="77777777" w:rsidR="003D0559" w:rsidRPr="00BC77C4" w:rsidRDefault="003D0559" w:rsidP="00945A6F">
      <w:pPr>
        <w:spacing w:after="0" w:line="240" w:lineRule="auto"/>
        <w:jc w:val="both"/>
        <w:rPr>
          <w:color w:val="000000" w:themeColor="text1"/>
        </w:rPr>
      </w:pPr>
      <w:r w:rsidRPr="00BC77C4">
        <w:rPr>
          <w:color w:val="000000" w:themeColor="text1"/>
        </w:rPr>
        <w:t>Pro nadcházející období jsou vytvořeny předpoklady pro další úspěšný rozvoj společnosti.</w:t>
      </w:r>
    </w:p>
    <w:p w14:paraId="248EFE9E" w14:textId="77777777" w:rsidR="003D0559" w:rsidRPr="00BC77C4" w:rsidRDefault="003D0559" w:rsidP="00945A6F">
      <w:pPr>
        <w:spacing w:after="0" w:line="240" w:lineRule="auto"/>
        <w:jc w:val="both"/>
        <w:rPr>
          <w:color w:val="000000" w:themeColor="text1"/>
        </w:rPr>
      </w:pPr>
      <w:r w:rsidRPr="00BC77C4">
        <w:rPr>
          <w:color w:val="000000" w:themeColor="text1"/>
        </w:rPr>
        <w:t>Účetní jednotka nemá v zahraničí žádnou pobočku ani část obchodního závodu.</w:t>
      </w:r>
    </w:p>
    <w:p w14:paraId="1CCAC3F3" w14:textId="77777777" w:rsidR="00C146B2" w:rsidRPr="00BC77C4" w:rsidRDefault="00C146B2" w:rsidP="00945A6F">
      <w:pPr>
        <w:spacing w:after="0" w:line="240" w:lineRule="auto"/>
        <w:jc w:val="both"/>
        <w:rPr>
          <w:color w:val="000000" w:themeColor="text1"/>
        </w:rPr>
      </w:pPr>
    </w:p>
    <w:p w14:paraId="29CBFEDF" w14:textId="77777777" w:rsidR="003D0559" w:rsidRDefault="003D0559">
      <w:r>
        <w:br w:type="page"/>
      </w:r>
    </w:p>
    <w:p w14:paraId="11FD7054" w14:textId="77777777" w:rsidR="00A07698" w:rsidRPr="00EE438F" w:rsidRDefault="00A07698" w:rsidP="00A07698">
      <w:pPr>
        <w:rPr>
          <w:sz w:val="18"/>
          <w:szCs w:val="18"/>
        </w:rPr>
      </w:pPr>
    </w:p>
    <w:p w14:paraId="42CB0CA6" w14:textId="77777777" w:rsidR="00EE438F" w:rsidRPr="00EE438F" w:rsidRDefault="00EE438F" w:rsidP="00A07698">
      <w:pPr>
        <w:rPr>
          <w:sz w:val="18"/>
          <w:szCs w:val="18"/>
        </w:rPr>
      </w:pPr>
    </w:p>
    <w:p w14:paraId="02B116BF" w14:textId="77777777" w:rsidR="003D0559" w:rsidRPr="00F86634" w:rsidRDefault="003D0559" w:rsidP="003D0559">
      <w:pPr>
        <w:rPr>
          <w:color w:val="365F91" w:themeColor="accent1" w:themeShade="BF"/>
          <w:sz w:val="52"/>
          <w:szCs w:val="52"/>
        </w:rPr>
      </w:pPr>
      <w:r w:rsidRPr="00F86634">
        <w:rPr>
          <w:color w:val="365F91" w:themeColor="accent1" w:themeShade="BF"/>
          <w:sz w:val="52"/>
          <w:szCs w:val="52"/>
        </w:rPr>
        <w:t>ZÁKLADNÍ ÚDAJE O SPOLEČNOST</w:t>
      </w:r>
      <w:r w:rsidR="00D75937" w:rsidRPr="00F86634">
        <w:rPr>
          <w:color w:val="365F91" w:themeColor="accent1" w:themeShade="BF"/>
          <w:sz w:val="52"/>
          <w:szCs w:val="52"/>
        </w:rPr>
        <w:t>I</w:t>
      </w:r>
    </w:p>
    <w:p w14:paraId="5EC25A14" w14:textId="77777777" w:rsidR="003D0559" w:rsidRPr="00BC77C4" w:rsidRDefault="003D0559" w:rsidP="00945A6F">
      <w:pPr>
        <w:spacing w:after="0" w:line="240" w:lineRule="auto"/>
        <w:jc w:val="both"/>
        <w:rPr>
          <w:color w:val="000000" w:themeColor="text1"/>
        </w:rPr>
      </w:pPr>
      <w:r w:rsidRPr="00BC77C4">
        <w:rPr>
          <w:color w:val="000000" w:themeColor="text1"/>
        </w:rPr>
        <w:t>K rozvahovému dni nejsou společnosti známy žádné skutečnosti související s</w:t>
      </w:r>
      <w:r w:rsidR="00945A6F" w:rsidRPr="00BC77C4">
        <w:rPr>
          <w:color w:val="000000" w:themeColor="text1"/>
        </w:rPr>
        <w:t> </w:t>
      </w:r>
      <w:r w:rsidRPr="00BC77C4">
        <w:rPr>
          <w:color w:val="000000" w:themeColor="text1"/>
        </w:rPr>
        <w:t>úvěrovými</w:t>
      </w:r>
      <w:r w:rsidR="00945A6F" w:rsidRPr="00BC77C4">
        <w:rPr>
          <w:color w:val="000000" w:themeColor="text1"/>
        </w:rPr>
        <w:t xml:space="preserve"> a </w:t>
      </w:r>
      <w:r w:rsidRPr="00BC77C4">
        <w:rPr>
          <w:color w:val="000000" w:themeColor="text1"/>
        </w:rPr>
        <w:t>cenovými riziky. Ve společnosti nenastaly po rozvahovém dni žádné významné skutečnosti, které by ovlivnily naplnění výroční zprávy.</w:t>
      </w:r>
    </w:p>
    <w:p w14:paraId="6106900D" w14:textId="77777777" w:rsidR="003D0559" w:rsidRPr="00BC77C4" w:rsidRDefault="003D0559" w:rsidP="00945A6F">
      <w:pPr>
        <w:spacing w:after="0" w:line="240" w:lineRule="auto"/>
        <w:jc w:val="both"/>
        <w:rPr>
          <w:color w:val="000000" w:themeColor="text1"/>
        </w:rPr>
      </w:pPr>
      <w:r w:rsidRPr="00BC77C4">
        <w:rPr>
          <w:color w:val="000000" w:themeColor="text1"/>
        </w:rPr>
        <w:t>V oblasti výzkumu a vývoje nejsou vyvíjeny žádné aktivity.</w:t>
      </w:r>
    </w:p>
    <w:p w14:paraId="53D12AF2" w14:textId="77777777" w:rsidR="000D109D" w:rsidRPr="00BC77C4" w:rsidRDefault="000D109D" w:rsidP="00945A6F">
      <w:pPr>
        <w:spacing w:after="0" w:line="240" w:lineRule="auto"/>
        <w:jc w:val="both"/>
        <w:rPr>
          <w:color w:val="000000" w:themeColor="text1"/>
        </w:rPr>
      </w:pPr>
    </w:p>
    <w:p w14:paraId="1A697928" w14:textId="77777777" w:rsidR="003D0559" w:rsidRPr="00BC77C4" w:rsidRDefault="003D0559" w:rsidP="00945A6F">
      <w:pPr>
        <w:spacing w:after="0" w:line="240" w:lineRule="auto"/>
        <w:jc w:val="both"/>
        <w:rPr>
          <w:color w:val="000000" w:themeColor="text1"/>
        </w:rPr>
      </w:pPr>
      <w:r w:rsidRPr="00BC77C4">
        <w:rPr>
          <w:b/>
          <w:bCs/>
          <w:color w:val="000000" w:themeColor="text1"/>
        </w:rPr>
        <w:t>Představenstvo:</w:t>
      </w:r>
    </w:p>
    <w:p w14:paraId="5B59B4F1" w14:textId="77777777" w:rsidR="00BC77C4" w:rsidRDefault="00AC2A88" w:rsidP="00945A6F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BC77C4">
        <w:rPr>
          <w:color w:val="000000" w:themeColor="text1"/>
        </w:rPr>
        <w:t xml:space="preserve">Ing. Vladimír </w:t>
      </w:r>
      <w:proofErr w:type="spellStart"/>
      <w:r w:rsidRPr="00BC77C4">
        <w:rPr>
          <w:color w:val="000000" w:themeColor="text1"/>
        </w:rPr>
        <w:t>Feix</w:t>
      </w:r>
      <w:proofErr w:type="spellEnd"/>
      <w:r w:rsidRPr="00BC77C4">
        <w:rPr>
          <w:color w:val="000000" w:themeColor="text1"/>
        </w:rPr>
        <w:t>, dr. h. c. - předseda představenstva</w:t>
      </w:r>
    </w:p>
    <w:p w14:paraId="1B7F7159" w14:textId="77777777" w:rsidR="00AC2A88" w:rsidRPr="00BC77C4" w:rsidRDefault="00AC2A88" w:rsidP="00BC77C4">
      <w:pPr>
        <w:spacing w:after="0" w:line="240" w:lineRule="auto"/>
        <w:ind w:left="720"/>
        <w:jc w:val="both"/>
        <w:rPr>
          <w:color w:val="000000" w:themeColor="text1"/>
        </w:rPr>
      </w:pPr>
      <w:r w:rsidRPr="00BC77C4">
        <w:rPr>
          <w:color w:val="000000" w:themeColor="text1"/>
        </w:rPr>
        <w:t>bydliště: Dubí 2, Lesní 209/1, PSČ 417 02</w:t>
      </w:r>
    </w:p>
    <w:p w14:paraId="032C171D" w14:textId="77777777" w:rsidR="00BC77C4" w:rsidRDefault="00AC2A88" w:rsidP="00945A6F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BC77C4">
        <w:rPr>
          <w:color w:val="000000" w:themeColor="text1"/>
        </w:rPr>
        <w:t>Ing. Radislav </w:t>
      </w:r>
      <w:proofErr w:type="spellStart"/>
      <w:r w:rsidRPr="00BC77C4">
        <w:rPr>
          <w:color w:val="000000" w:themeColor="text1"/>
        </w:rPr>
        <w:t>Feix</w:t>
      </w:r>
      <w:proofErr w:type="spellEnd"/>
      <w:r w:rsidRPr="00BC77C4">
        <w:rPr>
          <w:color w:val="000000" w:themeColor="text1"/>
        </w:rPr>
        <w:t>, Ph.D. - místopředseda představenstva</w:t>
      </w:r>
    </w:p>
    <w:p w14:paraId="4D7F545A" w14:textId="77777777" w:rsidR="00AC2A88" w:rsidRPr="00BC77C4" w:rsidRDefault="00AC2A88" w:rsidP="00BC77C4">
      <w:pPr>
        <w:spacing w:after="0" w:line="240" w:lineRule="auto"/>
        <w:ind w:left="720"/>
        <w:jc w:val="both"/>
        <w:rPr>
          <w:color w:val="000000" w:themeColor="text1"/>
        </w:rPr>
      </w:pPr>
      <w:r w:rsidRPr="00BC77C4">
        <w:rPr>
          <w:color w:val="000000" w:themeColor="text1"/>
        </w:rPr>
        <w:t>bydliště: Háj u Duchcova, Kubátova 327, PSČ 417 22</w:t>
      </w:r>
    </w:p>
    <w:p w14:paraId="28D3EFF8" w14:textId="77777777" w:rsidR="00BC77C4" w:rsidRDefault="00AC2A88" w:rsidP="00945A6F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BC77C4">
        <w:rPr>
          <w:color w:val="000000" w:themeColor="text1"/>
        </w:rPr>
        <w:t>Ing. Petr Bednář, CSc. - člen představenstva</w:t>
      </w:r>
    </w:p>
    <w:p w14:paraId="65A9BD75" w14:textId="77777777" w:rsidR="00AC2A88" w:rsidRPr="00BC77C4" w:rsidRDefault="00AC2A88" w:rsidP="00BC77C4">
      <w:pPr>
        <w:spacing w:after="0" w:line="240" w:lineRule="auto"/>
        <w:ind w:left="720"/>
        <w:jc w:val="both"/>
        <w:rPr>
          <w:color w:val="000000" w:themeColor="text1"/>
        </w:rPr>
      </w:pPr>
      <w:r w:rsidRPr="00BC77C4">
        <w:rPr>
          <w:color w:val="000000" w:themeColor="text1"/>
        </w:rPr>
        <w:t xml:space="preserve">bydliště: </w:t>
      </w:r>
      <w:proofErr w:type="spellStart"/>
      <w:r w:rsidRPr="00BC77C4">
        <w:rPr>
          <w:color w:val="000000" w:themeColor="text1"/>
          <w:lang w:val="pl-PL"/>
        </w:rPr>
        <w:t>Ke</w:t>
      </w:r>
      <w:proofErr w:type="spellEnd"/>
      <w:r w:rsidRPr="00BC77C4">
        <w:rPr>
          <w:color w:val="000000" w:themeColor="text1"/>
          <w:lang w:val="pl-PL"/>
        </w:rPr>
        <w:t xml:space="preserve"> studni 364, </w:t>
      </w:r>
      <w:proofErr w:type="spellStart"/>
      <w:r w:rsidRPr="00BC77C4">
        <w:rPr>
          <w:color w:val="000000" w:themeColor="text1"/>
          <w:lang w:val="pl-PL"/>
        </w:rPr>
        <w:t>Horní</w:t>
      </w:r>
      <w:proofErr w:type="spellEnd"/>
      <w:r w:rsidRPr="00BC77C4">
        <w:rPr>
          <w:color w:val="000000" w:themeColor="text1"/>
          <w:lang w:val="pl-PL"/>
        </w:rPr>
        <w:t xml:space="preserve"> </w:t>
      </w:r>
      <w:proofErr w:type="spellStart"/>
      <w:r w:rsidRPr="00BC77C4">
        <w:rPr>
          <w:color w:val="000000" w:themeColor="text1"/>
          <w:lang w:val="pl-PL"/>
        </w:rPr>
        <w:t>Jirčany</w:t>
      </w:r>
      <w:proofErr w:type="spellEnd"/>
      <w:r w:rsidRPr="00BC77C4">
        <w:rPr>
          <w:color w:val="000000" w:themeColor="text1"/>
          <w:lang w:val="pl-PL"/>
        </w:rPr>
        <w:t xml:space="preserve">, 252 42 </w:t>
      </w:r>
      <w:proofErr w:type="spellStart"/>
      <w:r w:rsidRPr="00BC77C4">
        <w:rPr>
          <w:color w:val="000000" w:themeColor="text1"/>
          <w:lang w:val="pl-PL"/>
        </w:rPr>
        <w:t>Jesenice</w:t>
      </w:r>
      <w:proofErr w:type="spellEnd"/>
    </w:p>
    <w:p w14:paraId="3BD60C78" w14:textId="77777777" w:rsidR="000D109D" w:rsidRPr="00BC77C4" w:rsidRDefault="000D109D" w:rsidP="00945A6F">
      <w:pPr>
        <w:spacing w:after="0" w:line="240" w:lineRule="auto"/>
        <w:jc w:val="both"/>
        <w:rPr>
          <w:color w:val="000000" w:themeColor="text1"/>
        </w:rPr>
      </w:pPr>
    </w:p>
    <w:p w14:paraId="1DA91EB4" w14:textId="77777777" w:rsidR="003D0559" w:rsidRPr="00BC77C4" w:rsidRDefault="003D0559" w:rsidP="00945A6F">
      <w:pPr>
        <w:spacing w:after="0" w:line="240" w:lineRule="auto"/>
        <w:jc w:val="both"/>
        <w:rPr>
          <w:color w:val="000000" w:themeColor="text1"/>
        </w:rPr>
      </w:pPr>
      <w:r w:rsidRPr="00BC77C4">
        <w:rPr>
          <w:b/>
          <w:bCs/>
          <w:color w:val="000000" w:themeColor="text1"/>
        </w:rPr>
        <w:t>Dozorčí rada:</w:t>
      </w:r>
    </w:p>
    <w:p w14:paraId="7C0BA153" w14:textId="77777777" w:rsidR="00BC77C4" w:rsidRDefault="00AC2A88" w:rsidP="00945A6F">
      <w:pPr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 w:rsidRPr="00BC77C4">
        <w:rPr>
          <w:color w:val="000000" w:themeColor="text1"/>
        </w:rPr>
        <w:t>Helena Müllerová -</w:t>
      </w:r>
      <w:r w:rsidR="00D75937" w:rsidRPr="00BC77C4">
        <w:rPr>
          <w:color w:val="000000" w:themeColor="text1"/>
        </w:rPr>
        <w:t xml:space="preserve"> předseda dozorčí rady</w:t>
      </w:r>
    </w:p>
    <w:p w14:paraId="6538E75C" w14:textId="77777777" w:rsidR="00AC2A88" w:rsidRPr="00BC77C4" w:rsidRDefault="00D75937" w:rsidP="00BC77C4">
      <w:pPr>
        <w:spacing w:after="0" w:line="240" w:lineRule="auto"/>
        <w:ind w:left="720"/>
        <w:jc w:val="both"/>
        <w:rPr>
          <w:color w:val="000000" w:themeColor="text1"/>
        </w:rPr>
      </w:pPr>
      <w:r w:rsidRPr="00BC77C4">
        <w:rPr>
          <w:color w:val="000000" w:themeColor="text1"/>
        </w:rPr>
        <w:t>bydliště</w:t>
      </w:r>
      <w:r w:rsidR="00AC2A88" w:rsidRPr="00BC77C4">
        <w:rPr>
          <w:color w:val="000000" w:themeColor="text1"/>
        </w:rPr>
        <w:t>:</w:t>
      </w:r>
      <w:r w:rsidR="000D109D" w:rsidRPr="00BC77C4">
        <w:rPr>
          <w:color w:val="000000" w:themeColor="text1"/>
        </w:rPr>
        <w:t xml:space="preserve"> </w:t>
      </w:r>
      <w:r w:rsidR="00AC2A88" w:rsidRPr="00BC77C4">
        <w:rPr>
          <w:color w:val="000000" w:themeColor="text1"/>
        </w:rPr>
        <w:t>Bystřice, Bystřická 209/26, PSČ 417 02</w:t>
      </w:r>
    </w:p>
    <w:p w14:paraId="53109827" w14:textId="77777777" w:rsidR="00BC77C4" w:rsidRDefault="00AC2A88" w:rsidP="00945A6F">
      <w:pPr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 w:rsidRPr="00BC77C4">
        <w:rPr>
          <w:color w:val="000000" w:themeColor="text1"/>
        </w:rPr>
        <w:t>Bc. František Bednář - člen dozorčí rady</w:t>
      </w:r>
    </w:p>
    <w:p w14:paraId="3EA9E0F1" w14:textId="77777777" w:rsidR="00AC2A88" w:rsidRPr="00BC77C4" w:rsidRDefault="00AC2A88" w:rsidP="00BC77C4">
      <w:pPr>
        <w:spacing w:after="0" w:line="240" w:lineRule="auto"/>
        <w:ind w:left="720"/>
        <w:jc w:val="both"/>
        <w:rPr>
          <w:color w:val="000000" w:themeColor="text1"/>
        </w:rPr>
      </w:pPr>
      <w:r w:rsidRPr="00BC77C4">
        <w:rPr>
          <w:color w:val="000000" w:themeColor="text1"/>
        </w:rPr>
        <w:t>bydliště: Horní Jirčany, Chrpová 1175, PSČ 252 42</w:t>
      </w:r>
    </w:p>
    <w:p w14:paraId="1627500D" w14:textId="77777777" w:rsidR="00BC77C4" w:rsidRDefault="00AC2A88" w:rsidP="00945A6F">
      <w:pPr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 w:rsidRPr="00BC77C4">
        <w:rPr>
          <w:color w:val="000000" w:themeColor="text1"/>
        </w:rPr>
        <w:t xml:space="preserve">Danuše Vlachová - člen dozorčí rady volený zaměstnanci společnosti </w:t>
      </w:r>
    </w:p>
    <w:p w14:paraId="7D36B5AC" w14:textId="77777777" w:rsidR="00AC2A88" w:rsidRPr="00BC77C4" w:rsidRDefault="00AC2A88" w:rsidP="00BC77C4">
      <w:pPr>
        <w:spacing w:after="0" w:line="240" w:lineRule="auto"/>
        <w:ind w:left="720"/>
        <w:jc w:val="both"/>
        <w:rPr>
          <w:color w:val="000000" w:themeColor="text1"/>
        </w:rPr>
      </w:pPr>
      <w:r w:rsidRPr="00BC77C4">
        <w:rPr>
          <w:color w:val="000000" w:themeColor="text1"/>
        </w:rPr>
        <w:t>bydliště: Duchcov, Tyršova 1207/33, PSČ 419 01</w:t>
      </w:r>
    </w:p>
    <w:p w14:paraId="36E4751B" w14:textId="77777777" w:rsidR="000D109D" w:rsidRPr="00BC77C4" w:rsidRDefault="000D109D" w:rsidP="00945A6F">
      <w:pPr>
        <w:spacing w:after="0" w:line="240" w:lineRule="auto"/>
        <w:jc w:val="both"/>
        <w:rPr>
          <w:color w:val="000000" w:themeColor="text1"/>
        </w:rPr>
      </w:pPr>
    </w:p>
    <w:p w14:paraId="756D5CC1" w14:textId="77777777" w:rsidR="003D0559" w:rsidRPr="00136DEF" w:rsidRDefault="003D0559" w:rsidP="00945A6F">
      <w:pPr>
        <w:spacing w:after="0" w:line="240" w:lineRule="auto"/>
        <w:jc w:val="both"/>
      </w:pPr>
      <w:r w:rsidRPr="00136DEF">
        <w:rPr>
          <w:b/>
          <w:bCs/>
        </w:rPr>
        <w:t>Vedení společnosti ke dni 31. 12. 201</w:t>
      </w:r>
      <w:r w:rsidR="00830779">
        <w:rPr>
          <w:b/>
          <w:bCs/>
        </w:rPr>
        <w:t>9</w:t>
      </w:r>
      <w:r w:rsidRPr="00136DEF">
        <w:rPr>
          <w:b/>
          <w:bCs/>
        </w:rPr>
        <w:t xml:space="preserve">: </w:t>
      </w:r>
    </w:p>
    <w:p w14:paraId="7F8C510B" w14:textId="77777777" w:rsidR="00AC2A88" w:rsidRPr="00BC77C4" w:rsidRDefault="00AC2A88" w:rsidP="00945A6F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BC77C4">
        <w:rPr>
          <w:color w:val="000000" w:themeColor="text1"/>
        </w:rPr>
        <w:t xml:space="preserve">Ing. Vladimír </w:t>
      </w:r>
      <w:proofErr w:type="spellStart"/>
      <w:r w:rsidRPr="00BC77C4">
        <w:rPr>
          <w:color w:val="000000" w:themeColor="text1"/>
        </w:rPr>
        <w:t>Feix</w:t>
      </w:r>
      <w:proofErr w:type="spellEnd"/>
      <w:r w:rsidRPr="00BC77C4">
        <w:rPr>
          <w:color w:val="000000" w:themeColor="text1"/>
        </w:rPr>
        <w:t>, dr. h. c.</w:t>
      </w:r>
      <w:r w:rsidRPr="00BC77C4">
        <w:rPr>
          <w:color w:val="000000" w:themeColor="text1"/>
        </w:rPr>
        <w:tab/>
        <w:t xml:space="preserve">generální ředitel </w:t>
      </w:r>
    </w:p>
    <w:p w14:paraId="450E19CB" w14:textId="77777777" w:rsidR="00AC2A88" w:rsidRPr="00041218" w:rsidRDefault="00041218" w:rsidP="00945A6F">
      <w:pPr>
        <w:numPr>
          <w:ilvl w:val="0"/>
          <w:numId w:val="4"/>
        </w:numPr>
        <w:spacing w:after="0" w:line="240" w:lineRule="auto"/>
        <w:jc w:val="both"/>
      </w:pPr>
      <w:r w:rsidRPr="00041218">
        <w:t>Ing. Petra Novotná</w:t>
      </w:r>
      <w:r w:rsidR="00AC2A88" w:rsidRPr="00041218">
        <w:tab/>
      </w:r>
      <w:r w:rsidR="00AC2A88" w:rsidRPr="00041218">
        <w:tab/>
      </w:r>
      <w:r w:rsidR="0031237E" w:rsidRPr="00041218">
        <w:t xml:space="preserve">vedoucí </w:t>
      </w:r>
      <w:r w:rsidR="00AC2A88" w:rsidRPr="00041218">
        <w:t>ekonomicko-finanční</w:t>
      </w:r>
      <w:r w:rsidR="0031237E" w:rsidRPr="00041218">
        <w:t>ho útvaru</w:t>
      </w:r>
    </w:p>
    <w:p w14:paraId="490051E5" w14:textId="77777777" w:rsidR="00AC2A88" w:rsidRPr="00041218" w:rsidRDefault="00AC2A88" w:rsidP="00945A6F">
      <w:pPr>
        <w:numPr>
          <w:ilvl w:val="0"/>
          <w:numId w:val="4"/>
        </w:numPr>
        <w:spacing w:after="0" w:line="240" w:lineRule="auto"/>
        <w:jc w:val="both"/>
      </w:pPr>
      <w:r w:rsidRPr="00041218">
        <w:t xml:space="preserve">Bc. Vladimír </w:t>
      </w:r>
      <w:proofErr w:type="spellStart"/>
      <w:r w:rsidRPr="00041218">
        <w:t>Feix</w:t>
      </w:r>
      <w:proofErr w:type="spellEnd"/>
      <w:r w:rsidRPr="00041218">
        <w:tab/>
      </w:r>
      <w:r w:rsidRPr="00041218">
        <w:tab/>
        <w:t>výrobně-technický ředitel</w:t>
      </w:r>
    </w:p>
    <w:p w14:paraId="2C528D2B" w14:textId="77777777" w:rsidR="00AC2A88" w:rsidRPr="00041218" w:rsidRDefault="003D0559" w:rsidP="00945A6F">
      <w:pPr>
        <w:numPr>
          <w:ilvl w:val="0"/>
          <w:numId w:val="4"/>
        </w:numPr>
        <w:spacing w:after="0" w:line="240" w:lineRule="auto"/>
        <w:jc w:val="both"/>
      </w:pPr>
      <w:r w:rsidRPr="00041218">
        <w:t xml:space="preserve">Ing. Radislav </w:t>
      </w:r>
      <w:proofErr w:type="spellStart"/>
      <w:r w:rsidRPr="00041218">
        <w:t>Feix</w:t>
      </w:r>
      <w:proofErr w:type="spellEnd"/>
      <w:r w:rsidRPr="00041218">
        <w:t>, Ph.D.</w:t>
      </w:r>
      <w:r w:rsidRPr="00041218">
        <w:tab/>
      </w:r>
      <w:r w:rsidR="00AC2A88" w:rsidRPr="00041218">
        <w:t xml:space="preserve">ředitel závodu </w:t>
      </w:r>
      <w:proofErr w:type="spellStart"/>
      <w:r w:rsidR="00AC2A88" w:rsidRPr="00041218">
        <w:t>Royal</w:t>
      </w:r>
      <w:proofErr w:type="spellEnd"/>
      <w:r w:rsidR="00AC2A88" w:rsidRPr="00041218">
        <w:t xml:space="preserve"> </w:t>
      </w:r>
      <w:proofErr w:type="spellStart"/>
      <w:r w:rsidR="00AC2A88" w:rsidRPr="00041218">
        <w:t>Dux</w:t>
      </w:r>
      <w:proofErr w:type="spellEnd"/>
      <w:r w:rsidR="00AC2A88" w:rsidRPr="00041218">
        <w:t xml:space="preserve"> </w:t>
      </w:r>
    </w:p>
    <w:p w14:paraId="75FE6F54" w14:textId="77777777" w:rsidR="00AC2A88" w:rsidRPr="00041218" w:rsidRDefault="00AC2A88" w:rsidP="00945A6F">
      <w:pPr>
        <w:numPr>
          <w:ilvl w:val="0"/>
          <w:numId w:val="4"/>
        </w:numPr>
        <w:spacing w:after="0" w:line="240" w:lineRule="auto"/>
        <w:jc w:val="both"/>
      </w:pPr>
      <w:r w:rsidRPr="00041218">
        <w:t>Helena Müllerová</w:t>
      </w:r>
      <w:r w:rsidRPr="00041218">
        <w:tab/>
      </w:r>
      <w:r w:rsidRPr="00041218">
        <w:tab/>
        <w:t xml:space="preserve">personální ředitelka </w:t>
      </w:r>
    </w:p>
    <w:p w14:paraId="3D01D902" w14:textId="77777777" w:rsidR="003D0559" w:rsidRPr="00BC77C4" w:rsidRDefault="003D0559" w:rsidP="00945A6F">
      <w:pPr>
        <w:spacing w:after="0" w:line="240" w:lineRule="auto"/>
        <w:jc w:val="both"/>
        <w:rPr>
          <w:color w:val="000000" w:themeColor="text1"/>
        </w:rPr>
      </w:pPr>
    </w:p>
    <w:p w14:paraId="0AEF065C" w14:textId="77777777" w:rsidR="003D0559" w:rsidRPr="00BC77C4" w:rsidRDefault="003D0559" w:rsidP="00945A6F">
      <w:pPr>
        <w:spacing w:after="0" w:line="240" w:lineRule="auto"/>
        <w:jc w:val="both"/>
        <w:rPr>
          <w:color w:val="000000" w:themeColor="text1"/>
        </w:rPr>
      </w:pPr>
      <w:r w:rsidRPr="00BC77C4">
        <w:rPr>
          <w:color w:val="000000" w:themeColor="text1"/>
        </w:rPr>
        <w:t>Žádný z členů představenstva, dozorčí rady a managementu</w:t>
      </w:r>
      <w:r w:rsidR="00972FC1">
        <w:rPr>
          <w:color w:val="000000" w:themeColor="text1"/>
        </w:rPr>
        <w:t xml:space="preserve"> společnosti nebyl odsouzen pro </w:t>
      </w:r>
      <w:r w:rsidRPr="00BC77C4">
        <w:rPr>
          <w:color w:val="000000" w:themeColor="text1"/>
        </w:rPr>
        <w:t xml:space="preserve">trestný čin majetkové povahy. Společnost nevede a nevedla žádný soudní spor, správní nebo rozhodčí řízení, které by mohly mít významný vliv na její finanční situaci. </w:t>
      </w:r>
    </w:p>
    <w:p w14:paraId="0ED3A8BA" w14:textId="77777777" w:rsidR="000D109D" w:rsidRPr="00BC77C4" w:rsidRDefault="003D0559" w:rsidP="00945A6F">
      <w:pPr>
        <w:spacing w:after="0" w:line="240" w:lineRule="auto"/>
        <w:jc w:val="both"/>
        <w:rPr>
          <w:color w:val="000000" w:themeColor="text1"/>
        </w:rPr>
      </w:pPr>
      <w:r w:rsidRPr="00BC77C4">
        <w:rPr>
          <w:color w:val="000000" w:themeColor="text1"/>
        </w:rPr>
        <w:t>Český porcelán, akciová společnost neposkytla půjčku, nebo úvěr, ani jiná ručení žádnému</w:t>
      </w:r>
      <w:r w:rsidR="00177CD3">
        <w:rPr>
          <w:color w:val="000000" w:themeColor="text1"/>
        </w:rPr>
        <w:t> </w:t>
      </w:r>
      <w:r w:rsidR="00830779">
        <w:rPr>
          <w:color w:val="000000" w:themeColor="text1"/>
        </w:rPr>
        <w:t>ze </w:t>
      </w:r>
      <w:r w:rsidRPr="00BC77C4">
        <w:rPr>
          <w:color w:val="000000" w:themeColor="text1"/>
        </w:rPr>
        <w:t>členů orgánů.</w:t>
      </w:r>
    </w:p>
    <w:p w14:paraId="68FCAEFA" w14:textId="77777777" w:rsidR="000D109D" w:rsidRDefault="000D109D">
      <w:pPr>
        <w:rPr>
          <w:color w:val="000000" w:themeColor="text1"/>
        </w:rPr>
      </w:pPr>
      <w:r w:rsidRPr="00BC77C4">
        <w:rPr>
          <w:color w:val="000000" w:themeColor="text1"/>
        </w:rPr>
        <w:br w:type="page"/>
      </w:r>
    </w:p>
    <w:p w14:paraId="40D18AA1" w14:textId="77777777" w:rsidR="00A07698" w:rsidRPr="00A07698" w:rsidRDefault="00A07698" w:rsidP="00A07698"/>
    <w:p w14:paraId="41C02C36" w14:textId="77777777" w:rsidR="003D0559" w:rsidRPr="00F86634" w:rsidRDefault="000D109D" w:rsidP="0042600F">
      <w:pPr>
        <w:pStyle w:val="Nadpis1"/>
        <w:rPr>
          <w:color w:val="365F91" w:themeColor="accent1" w:themeShade="BF"/>
        </w:rPr>
      </w:pPr>
      <w:bookmarkStart w:id="2" w:name="_Toc45113402"/>
      <w:r w:rsidRPr="00F86634">
        <w:rPr>
          <w:color w:val="365F91" w:themeColor="accent1" w:themeShade="BF"/>
        </w:rPr>
        <w:t>NÁVRH NA VYPOŘÁDÁNÍ VÝSLEDKU HOSPODAŘENÍ</w:t>
      </w:r>
      <w:bookmarkEnd w:id="2"/>
    </w:p>
    <w:p w14:paraId="046CF8C6" w14:textId="77777777" w:rsidR="000D109D" w:rsidRDefault="000D109D" w:rsidP="000D109D"/>
    <w:p w14:paraId="63907FA5" w14:textId="77777777" w:rsidR="002131F1" w:rsidRPr="00E33689" w:rsidRDefault="0031237E" w:rsidP="002131F1">
      <w:pPr>
        <w:pStyle w:val="Titulek"/>
        <w:keepNext/>
        <w:rPr>
          <w:color w:val="auto"/>
          <w:sz w:val="24"/>
          <w:szCs w:val="24"/>
        </w:rPr>
      </w:pPr>
      <w:r w:rsidRPr="00E33689">
        <w:rPr>
          <w:color w:val="auto"/>
          <w:sz w:val="24"/>
          <w:szCs w:val="24"/>
        </w:rPr>
        <w:t>NÁVRH NA VYPOŘÁDÁNÍ VÝSLEDKU HOSPODAŘENÍ</w:t>
      </w:r>
    </w:p>
    <w:tbl>
      <w:tblPr>
        <w:tblStyle w:val="Svtlmkazvraznn1"/>
        <w:tblW w:w="9184" w:type="dxa"/>
        <w:tblLook w:val="04A0" w:firstRow="1" w:lastRow="0" w:firstColumn="1" w:lastColumn="0" w:noHBand="0" w:noVBand="1"/>
      </w:tblPr>
      <w:tblGrid>
        <w:gridCol w:w="5669"/>
        <w:gridCol w:w="3515"/>
      </w:tblGrid>
      <w:tr w:rsidR="00E37EFA" w:rsidRPr="00F92DF6" w14:paraId="5ACB46EF" w14:textId="77777777" w:rsidTr="00E33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97DD43A" w14:textId="77777777" w:rsidR="006D3C2F" w:rsidRPr="00486AFB" w:rsidRDefault="006D3C2F" w:rsidP="00830779">
            <w:pPr>
              <w:rPr>
                <w:rFonts w:eastAsia="Times New Roman"/>
                <w:kern w:val="24"/>
                <w:lang w:eastAsia="cs-CZ"/>
              </w:rPr>
            </w:pPr>
            <w:r w:rsidRPr="00486AFB">
              <w:rPr>
                <w:rFonts w:eastAsia="Times New Roman"/>
                <w:kern w:val="24"/>
                <w:lang w:eastAsia="cs-CZ"/>
              </w:rPr>
              <w:t>Výsledek hospodaření za rok 201</w:t>
            </w:r>
            <w:r w:rsidR="00830779" w:rsidRPr="00486AFB">
              <w:rPr>
                <w:rFonts w:eastAsia="Times New Roman"/>
                <w:kern w:val="24"/>
                <w:lang w:eastAsia="cs-CZ"/>
              </w:rPr>
              <w:t>9</w:t>
            </w:r>
            <w:r w:rsidRPr="00486AFB">
              <w:rPr>
                <w:rFonts w:eastAsia="Times New Roman"/>
                <w:kern w:val="24"/>
                <w:lang w:eastAsia="cs-CZ"/>
              </w:rPr>
              <w:t xml:space="preserve"> – </w:t>
            </w:r>
            <w:r w:rsidR="00830779" w:rsidRPr="00486AFB">
              <w:rPr>
                <w:rFonts w:eastAsia="Times New Roman"/>
                <w:kern w:val="24"/>
                <w:lang w:eastAsia="cs-CZ"/>
              </w:rPr>
              <w:t>ztráta</w:t>
            </w:r>
          </w:p>
        </w:tc>
        <w:tc>
          <w:tcPr>
            <w:tcW w:w="3515" w:type="dxa"/>
          </w:tcPr>
          <w:p w14:paraId="2B439581" w14:textId="77777777" w:rsidR="006D3C2F" w:rsidRPr="00486AFB" w:rsidRDefault="00830779" w:rsidP="00B74EE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24"/>
                <w:lang w:eastAsia="cs-CZ"/>
              </w:rPr>
            </w:pPr>
            <w:r w:rsidRPr="00486AFB">
              <w:rPr>
                <w:rFonts w:eastAsia="Times New Roman"/>
                <w:kern w:val="24"/>
                <w:lang w:eastAsia="cs-CZ"/>
              </w:rPr>
              <w:t>- 20 923 499,42</w:t>
            </w:r>
            <w:r w:rsidR="006D3C2F" w:rsidRPr="00486AFB">
              <w:rPr>
                <w:rFonts w:eastAsia="Times New Roman"/>
                <w:kern w:val="24"/>
                <w:lang w:eastAsia="cs-CZ"/>
              </w:rPr>
              <w:t xml:space="preserve"> </w:t>
            </w:r>
            <w:r w:rsidR="006643AC" w:rsidRPr="00486AFB">
              <w:rPr>
                <w:rFonts w:eastAsia="Times New Roman"/>
                <w:kern w:val="24"/>
                <w:lang w:eastAsia="cs-CZ"/>
              </w:rPr>
              <w:t>Kč</w:t>
            </w:r>
          </w:p>
        </w:tc>
      </w:tr>
      <w:tr w:rsidR="005D0AFC" w:rsidRPr="00F92DF6" w14:paraId="11E5C265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36D2D32" w14:textId="77777777" w:rsidR="005D0AFC" w:rsidRPr="00486AFB" w:rsidRDefault="005D0AFC" w:rsidP="006643AC">
            <w:pPr>
              <w:rPr>
                <w:rFonts w:eastAsia="Times New Roman"/>
                <w:kern w:val="24"/>
                <w:lang w:eastAsia="cs-CZ"/>
              </w:rPr>
            </w:pPr>
            <w:r w:rsidRPr="00486AFB">
              <w:rPr>
                <w:rFonts w:eastAsia="Times New Roman"/>
                <w:kern w:val="24"/>
                <w:lang w:eastAsia="cs-CZ"/>
              </w:rPr>
              <w:t xml:space="preserve">Převod </w:t>
            </w:r>
            <w:r w:rsidR="00830779" w:rsidRPr="00486AFB">
              <w:rPr>
                <w:rFonts w:eastAsia="Times New Roman"/>
                <w:kern w:val="24"/>
                <w:lang w:eastAsia="cs-CZ"/>
              </w:rPr>
              <w:t>Nerozdělený zisk minulých let</w:t>
            </w:r>
          </w:p>
        </w:tc>
        <w:tc>
          <w:tcPr>
            <w:tcW w:w="3515" w:type="dxa"/>
          </w:tcPr>
          <w:p w14:paraId="4E6B9FFE" w14:textId="77777777" w:rsidR="005D0AFC" w:rsidRPr="00486AFB" w:rsidRDefault="00830779" w:rsidP="00B74E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AFB">
              <w:t>2 851 440,47</w:t>
            </w:r>
            <w:r w:rsidR="005D0AFC" w:rsidRPr="00486AFB">
              <w:t> Kč</w:t>
            </w:r>
          </w:p>
        </w:tc>
      </w:tr>
      <w:tr w:rsidR="005D0AFC" w:rsidRPr="00F92DF6" w14:paraId="52783EC0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65F5E7B" w14:textId="77777777" w:rsidR="005D0AFC" w:rsidRPr="00486AFB" w:rsidRDefault="00830779" w:rsidP="006643AC">
            <w:pPr>
              <w:rPr>
                <w:rFonts w:ascii="Calibri" w:eastAsia="Times New Roman" w:hAnsi="Calibri"/>
                <w:bCs w:val="0"/>
                <w:kern w:val="20"/>
                <w:lang w:eastAsia="cs-CZ"/>
              </w:rPr>
            </w:pPr>
            <w:r w:rsidRPr="00486AFB">
              <w:rPr>
                <w:rFonts w:ascii="Calibri" w:eastAsia="Times New Roman" w:hAnsi="Calibri"/>
                <w:kern w:val="20"/>
                <w:lang w:eastAsia="cs-CZ"/>
              </w:rPr>
              <w:t>Převod Ostatních kapitálových fondů</w:t>
            </w:r>
          </w:p>
        </w:tc>
        <w:tc>
          <w:tcPr>
            <w:tcW w:w="3515" w:type="dxa"/>
          </w:tcPr>
          <w:p w14:paraId="03B85A98" w14:textId="77777777" w:rsidR="005D0AFC" w:rsidRPr="00486AFB" w:rsidRDefault="00830779" w:rsidP="00B74E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bCs/>
                <w:kern w:val="20"/>
                <w:lang w:eastAsia="cs-CZ"/>
              </w:rPr>
            </w:pPr>
            <w:r w:rsidRPr="00486AFB">
              <w:rPr>
                <w:rFonts w:ascii="Calibri" w:eastAsia="Times New Roman" w:hAnsi="Calibri"/>
                <w:bCs/>
                <w:kern w:val="20"/>
                <w:lang w:eastAsia="cs-CZ"/>
              </w:rPr>
              <w:t>1 825 567,55</w:t>
            </w:r>
            <w:r w:rsidR="005D0AFC" w:rsidRPr="00486AFB">
              <w:rPr>
                <w:rFonts w:ascii="Calibri" w:eastAsia="Times New Roman" w:hAnsi="Calibri"/>
                <w:bCs/>
                <w:kern w:val="20"/>
                <w:lang w:eastAsia="cs-CZ"/>
              </w:rPr>
              <w:t> Kč</w:t>
            </w:r>
          </w:p>
        </w:tc>
      </w:tr>
      <w:tr w:rsidR="005D0AFC" w:rsidRPr="00F92DF6" w14:paraId="1EFEABF2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A0C3B2B" w14:textId="77777777" w:rsidR="005D0AFC" w:rsidRPr="00486AFB" w:rsidRDefault="00486AFB" w:rsidP="006643AC">
            <w:pPr>
              <w:rPr>
                <w:rFonts w:eastAsia="Times New Roman"/>
                <w:kern w:val="24"/>
                <w:lang w:eastAsia="cs-CZ"/>
              </w:rPr>
            </w:pPr>
            <w:r w:rsidRPr="00486AFB">
              <w:rPr>
                <w:rFonts w:eastAsia="Times New Roman"/>
                <w:kern w:val="24"/>
                <w:lang w:eastAsia="cs-CZ"/>
              </w:rPr>
              <w:t>Převod Ostatních fondů</w:t>
            </w:r>
          </w:p>
        </w:tc>
        <w:tc>
          <w:tcPr>
            <w:tcW w:w="3515" w:type="dxa"/>
          </w:tcPr>
          <w:p w14:paraId="7246BE47" w14:textId="77777777" w:rsidR="005D0AFC" w:rsidRPr="00486AFB" w:rsidRDefault="00486AFB" w:rsidP="00B74E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AFB">
              <w:t>8 533 891,63</w:t>
            </w:r>
            <w:r w:rsidR="005D0AFC" w:rsidRPr="00486AFB">
              <w:t> Kč</w:t>
            </w:r>
          </w:p>
        </w:tc>
      </w:tr>
      <w:tr w:rsidR="00E37EFA" w:rsidRPr="00F92DF6" w14:paraId="3B2954BE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B172A06" w14:textId="77777777" w:rsidR="006D3C2F" w:rsidRPr="00486AFB" w:rsidRDefault="00486AFB" w:rsidP="006643AC">
            <w:r w:rsidRPr="00486AFB">
              <w:rPr>
                <w:rFonts w:eastAsia="Times New Roman"/>
                <w:kern w:val="24"/>
                <w:lang w:eastAsia="cs-CZ"/>
              </w:rPr>
              <w:t>Převod Zákonného rezervního fondu</w:t>
            </w:r>
          </w:p>
        </w:tc>
        <w:tc>
          <w:tcPr>
            <w:tcW w:w="3515" w:type="dxa"/>
          </w:tcPr>
          <w:p w14:paraId="32B3EA1E" w14:textId="77777777" w:rsidR="006D3C2F" w:rsidRPr="00486AFB" w:rsidRDefault="00486AFB" w:rsidP="00B74E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6AFB">
              <w:t>7 712 599,77</w:t>
            </w:r>
            <w:r w:rsidR="006643AC" w:rsidRPr="00486AFB">
              <w:t xml:space="preserve"> Kč</w:t>
            </w:r>
          </w:p>
        </w:tc>
      </w:tr>
      <w:tr w:rsidR="005D0AFC" w:rsidRPr="00F92DF6" w14:paraId="6ACD9911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BA4E0AE" w14:textId="77777777" w:rsidR="005D0AFC" w:rsidRPr="00486AFB" w:rsidRDefault="00486AFB" w:rsidP="003F3256">
            <w:pPr>
              <w:rPr>
                <w:rFonts w:eastAsia="Times New Roman"/>
                <w:b w:val="0"/>
                <w:kern w:val="24"/>
                <w:lang w:eastAsia="cs-CZ"/>
              </w:rPr>
            </w:pPr>
            <w:r w:rsidRPr="00486AFB">
              <w:rPr>
                <w:rFonts w:eastAsia="Times New Roman"/>
                <w:kern w:val="24"/>
                <w:lang w:eastAsia="cs-CZ"/>
              </w:rPr>
              <w:t>K dispozici akcionářům</w:t>
            </w:r>
          </w:p>
        </w:tc>
        <w:tc>
          <w:tcPr>
            <w:tcW w:w="3515" w:type="dxa"/>
          </w:tcPr>
          <w:p w14:paraId="3F4C3D04" w14:textId="77777777" w:rsidR="005D0AFC" w:rsidRPr="00486AFB" w:rsidRDefault="00486AFB" w:rsidP="00B74E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6AFB">
              <w:rPr>
                <w:b/>
              </w:rPr>
              <w:t>0,00</w:t>
            </w:r>
            <w:r w:rsidR="005D0AFC" w:rsidRPr="00486AFB">
              <w:rPr>
                <w:b/>
              </w:rPr>
              <w:t> Kč</w:t>
            </w:r>
          </w:p>
        </w:tc>
      </w:tr>
      <w:tr w:rsidR="00486AFB" w:rsidRPr="00F92DF6" w14:paraId="564E484A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C76207A" w14:textId="77777777" w:rsidR="00486AFB" w:rsidRPr="00486AFB" w:rsidRDefault="00486AFB" w:rsidP="003F3256">
            <w:pPr>
              <w:rPr>
                <w:rFonts w:eastAsia="Times New Roman"/>
                <w:kern w:val="24"/>
                <w:lang w:eastAsia="cs-CZ"/>
              </w:rPr>
            </w:pPr>
            <w:r w:rsidRPr="00486AFB">
              <w:rPr>
                <w:rFonts w:eastAsia="Times New Roman"/>
                <w:kern w:val="24"/>
                <w:lang w:eastAsia="cs-CZ"/>
              </w:rPr>
              <w:t>Příděl do Sociálního fondu dle kolektivní smlouvy 2,5 % z plánovaných mezd</w:t>
            </w:r>
          </w:p>
        </w:tc>
        <w:tc>
          <w:tcPr>
            <w:tcW w:w="3515" w:type="dxa"/>
          </w:tcPr>
          <w:p w14:paraId="0AC8D98A" w14:textId="77777777" w:rsidR="00486AFB" w:rsidRPr="00486AFB" w:rsidRDefault="00486AFB" w:rsidP="00486AF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kern w:val="24"/>
                <w:lang w:eastAsia="cs-CZ"/>
              </w:rPr>
            </w:pPr>
            <w:r w:rsidRPr="00486AFB">
              <w:rPr>
                <w:rFonts w:eastAsia="Times New Roman"/>
                <w:kern w:val="24"/>
                <w:lang w:eastAsia="cs-CZ"/>
              </w:rPr>
              <w:t>0,00 Kč</w:t>
            </w:r>
          </w:p>
        </w:tc>
      </w:tr>
    </w:tbl>
    <w:p w14:paraId="143831D3" w14:textId="77777777" w:rsidR="00955866" w:rsidRDefault="00955866" w:rsidP="00F670E6">
      <w:pPr>
        <w:spacing w:after="0" w:line="240" w:lineRule="auto"/>
      </w:pPr>
    </w:p>
    <w:p w14:paraId="4ADC378E" w14:textId="77777777" w:rsidR="000D109D" w:rsidRDefault="000D109D">
      <w:r>
        <w:br w:type="page"/>
      </w:r>
    </w:p>
    <w:p w14:paraId="7D4C1C7F" w14:textId="77777777" w:rsidR="00A07698" w:rsidRPr="00A07698" w:rsidRDefault="00A07698" w:rsidP="00A07698"/>
    <w:p w14:paraId="6BEE3323" w14:textId="77777777" w:rsidR="0031237E" w:rsidRPr="00F86634" w:rsidRDefault="000D109D" w:rsidP="002131F1">
      <w:pPr>
        <w:pStyle w:val="Nadpis1"/>
        <w:rPr>
          <w:color w:val="365F91" w:themeColor="accent1" w:themeShade="BF"/>
        </w:rPr>
      </w:pPr>
      <w:bookmarkStart w:id="3" w:name="_Toc45113403"/>
      <w:r w:rsidRPr="00F86634">
        <w:rPr>
          <w:color w:val="365F91" w:themeColor="accent1" w:themeShade="BF"/>
        </w:rPr>
        <w:t>VÝSLEDKY HOSPODAŘENÍ</w:t>
      </w:r>
      <w:bookmarkEnd w:id="3"/>
    </w:p>
    <w:p w14:paraId="2C2CC16C" w14:textId="77777777" w:rsidR="0031237E" w:rsidRPr="0031237E" w:rsidRDefault="0031237E" w:rsidP="0031237E">
      <w:pPr>
        <w:rPr>
          <w:b/>
          <w:bCs/>
          <w:color w:val="002060"/>
          <w:sz w:val="8"/>
          <w:szCs w:val="8"/>
        </w:rPr>
      </w:pPr>
    </w:p>
    <w:p w14:paraId="4C0521E1" w14:textId="77777777" w:rsidR="000D109D" w:rsidRPr="00344324" w:rsidRDefault="000D109D" w:rsidP="000D109D">
      <w:pPr>
        <w:pStyle w:val="Titulek"/>
        <w:keepNext/>
        <w:rPr>
          <w:color w:val="002060"/>
          <w:sz w:val="24"/>
          <w:szCs w:val="24"/>
        </w:rPr>
      </w:pPr>
      <w:r w:rsidRPr="00344324">
        <w:rPr>
          <w:color w:val="002060"/>
          <w:sz w:val="24"/>
          <w:szCs w:val="24"/>
        </w:rPr>
        <w:t>PŘEHLED VYBRANÝCH UKAZATELŮ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3373"/>
        <w:gridCol w:w="1842"/>
        <w:gridCol w:w="1843"/>
        <w:gridCol w:w="1843"/>
      </w:tblGrid>
      <w:tr w:rsidR="00486AFB" w14:paraId="51EACF98" w14:textId="77777777" w:rsidTr="00E33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vMerge w:val="restart"/>
          </w:tcPr>
          <w:p w14:paraId="7BF17FD0" w14:textId="77777777" w:rsidR="00486AFB" w:rsidRPr="00E33689" w:rsidRDefault="00486AFB" w:rsidP="009C013F">
            <w:pPr>
              <w:rPr>
                <w:rFonts w:ascii="Calibri" w:eastAsia="Times New Roman" w:hAnsi="Calibri"/>
                <w:kern w:val="20"/>
                <w:lang w:eastAsia="cs-CZ"/>
              </w:rPr>
            </w:pPr>
            <w:r w:rsidRPr="00E33689">
              <w:rPr>
                <w:rFonts w:ascii="Calibri" w:eastAsia="Times New Roman" w:hAnsi="Calibri"/>
                <w:kern w:val="20"/>
                <w:lang w:eastAsia="cs-CZ"/>
              </w:rPr>
              <w:t>Český porcelán, a. s.</w:t>
            </w:r>
          </w:p>
        </w:tc>
        <w:tc>
          <w:tcPr>
            <w:tcW w:w="1842" w:type="dxa"/>
          </w:tcPr>
          <w:p w14:paraId="7AC14EE9" w14:textId="77777777" w:rsidR="00486AFB" w:rsidRPr="00E33689" w:rsidRDefault="00486AFB" w:rsidP="00222E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kern w:val="20"/>
                <w:lang w:eastAsia="cs-CZ"/>
              </w:rPr>
            </w:pPr>
            <w:r w:rsidRPr="00E33689">
              <w:rPr>
                <w:rFonts w:ascii="Calibri" w:eastAsia="Times New Roman" w:hAnsi="Calibri"/>
                <w:kern w:val="20"/>
                <w:lang w:eastAsia="cs-CZ"/>
              </w:rPr>
              <w:t>2017</w:t>
            </w:r>
          </w:p>
        </w:tc>
        <w:tc>
          <w:tcPr>
            <w:tcW w:w="1843" w:type="dxa"/>
          </w:tcPr>
          <w:p w14:paraId="64FD46B0" w14:textId="77777777" w:rsidR="00486AFB" w:rsidRPr="00E33689" w:rsidRDefault="00486AFB" w:rsidP="00222E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kern w:val="20"/>
                <w:lang w:eastAsia="cs-CZ"/>
              </w:rPr>
            </w:pPr>
            <w:r w:rsidRPr="00E33689">
              <w:rPr>
                <w:rFonts w:ascii="Calibri" w:eastAsia="Times New Roman" w:hAnsi="Calibri"/>
                <w:kern w:val="20"/>
                <w:lang w:eastAsia="cs-CZ"/>
              </w:rPr>
              <w:t>2018</w:t>
            </w:r>
          </w:p>
        </w:tc>
        <w:tc>
          <w:tcPr>
            <w:tcW w:w="1843" w:type="dxa"/>
          </w:tcPr>
          <w:p w14:paraId="638DCC7D" w14:textId="77777777" w:rsidR="00486AFB" w:rsidRPr="00E33689" w:rsidRDefault="00486AFB" w:rsidP="00B74EE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kern w:val="20"/>
                <w:lang w:eastAsia="cs-CZ"/>
              </w:rPr>
            </w:pPr>
            <w:r w:rsidRPr="00E33689">
              <w:rPr>
                <w:rFonts w:ascii="Calibri" w:eastAsia="Times New Roman" w:hAnsi="Calibri"/>
                <w:kern w:val="20"/>
                <w:lang w:eastAsia="cs-CZ"/>
              </w:rPr>
              <w:t>2019</w:t>
            </w:r>
          </w:p>
        </w:tc>
      </w:tr>
      <w:tr w:rsidR="00486AFB" w14:paraId="5114E65D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vMerge/>
          </w:tcPr>
          <w:p w14:paraId="382AE18C" w14:textId="77777777" w:rsidR="00486AFB" w:rsidRPr="00E33689" w:rsidRDefault="00486AFB" w:rsidP="009C013F">
            <w:pPr>
              <w:rPr>
                <w:rFonts w:ascii="Calibri" w:eastAsia="Times New Roman" w:hAnsi="Calibri"/>
                <w:kern w:val="20"/>
                <w:lang w:eastAsia="cs-CZ"/>
              </w:rPr>
            </w:pPr>
          </w:p>
        </w:tc>
        <w:tc>
          <w:tcPr>
            <w:tcW w:w="1842" w:type="dxa"/>
          </w:tcPr>
          <w:p w14:paraId="601B7DD7" w14:textId="77777777" w:rsidR="00486AFB" w:rsidRPr="00E33689" w:rsidRDefault="00486AFB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kern w:val="20"/>
                <w:lang w:eastAsia="cs-CZ"/>
              </w:rPr>
            </w:pPr>
            <w:r w:rsidRPr="00E33689">
              <w:rPr>
                <w:rFonts w:ascii="Calibri" w:eastAsia="Times New Roman" w:hAnsi="Calibri"/>
                <w:b/>
                <w:bCs/>
                <w:kern w:val="20"/>
                <w:lang w:eastAsia="cs-CZ"/>
              </w:rPr>
              <w:t>tis. Kč</w:t>
            </w:r>
          </w:p>
        </w:tc>
        <w:tc>
          <w:tcPr>
            <w:tcW w:w="1843" w:type="dxa"/>
          </w:tcPr>
          <w:p w14:paraId="19B793F9" w14:textId="77777777" w:rsidR="00486AFB" w:rsidRPr="00E33689" w:rsidRDefault="00486AFB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kern w:val="20"/>
                <w:lang w:eastAsia="cs-CZ"/>
              </w:rPr>
            </w:pPr>
            <w:r w:rsidRPr="00E33689">
              <w:rPr>
                <w:rFonts w:ascii="Calibri" w:eastAsia="Times New Roman" w:hAnsi="Calibri"/>
                <w:b/>
                <w:bCs/>
                <w:kern w:val="20"/>
                <w:lang w:eastAsia="cs-CZ"/>
              </w:rPr>
              <w:t>tis. Kč</w:t>
            </w:r>
          </w:p>
        </w:tc>
        <w:tc>
          <w:tcPr>
            <w:tcW w:w="1843" w:type="dxa"/>
          </w:tcPr>
          <w:p w14:paraId="32B47C64" w14:textId="77777777" w:rsidR="00486AFB" w:rsidRPr="00E33689" w:rsidRDefault="00486AFB" w:rsidP="004E4A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kern w:val="20"/>
                <w:lang w:eastAsia="cs-CZ"/>
              </w:rPr>
            </w:pPr>
            <w:r w:rsidRPr="00E33689">
              <w:rPr>
                <w:rFonts w:ascii="Calibri" w:eastAsia="Times New Roman" w:hAnsi="Calibri"/>
                <w:b/>
                <w:bCs/>
                <w:kern w:val="20"/>
                <w:lang w:eastAsia="cs-CZ"/>
              </w:rPr>
              <w:t>tis. Kč</w:t>
            </w:r>
          </w:p>
        </w:tc>
      </w:tr>
      <w:tr w:rsidR="00486AFB" w14:paraId="3E618D93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29D6560D" w14:textId="77777777" w:rsidR="00486AFB" w:rsidRDefault="00486AFB" w:rsidP="009C013F">
            <w:r w:rsidRPr="002A5BDD">
              <w:rPr>
                <w:rFonts w:ascii="Calibri" w:eastAsia="Times New Roman" w:hAnsi="Calibri"/>
                <w:kern w:val="20"/>
                <w:lang w:eastAsia="cs-CZ"/>
              </w:rPr>
              <w:t>Výnosy celkem</w:t>
            </w:r>
          </w:p>
        </w:tc>
        <w:tc>
          <w:tcPr>
            <w:tcW w:w="1842" w:type="dxa"/>
          </w:tcPr>
          <w:p w14:paraId="1EB00984" w14:textId="77777777" w:rsidR="00486AFB" w:rsidRDefault="00486AFB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159 295</w:t>
            </w:r>
          </w:p>
        </w:tc>
        <w:tc>
          <w:tcPr>
            <w:tcW w:w="1843" w:type="dxa"/>
          </w:tcPr>
          <w:p w14:paraId="6269C9CB" w14:textId="77777777" w:rsidR="00486AFB" w:rsidRDefault="00486AFB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145 953</w:t>
            </w:r>
          </w:p>
        </w:tc>
        <w:tc>
          <w:tcPr>
            <w:tcW w:w="1843" w:type="dxa"/>
          </w:tcPr>
          <w:p w14:paraId="0F6F5D78" w14:textId="77777777" w:rsidR="00486AFB" w:rsidRPr="009D025B" w:rsidRDefault="009D025B" w:rsidP="00B74E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025B">
              <w:t>136 614</w:t>
            </w:r>
          </w:p>
        </w:tc>
      </w:tr>
      <w:tr w:rsidR="00486AFB" w14:paraId="0AA657D2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3F811718" w14:textId="77777777" w:rsidR="00486AFB" w:rsidRDefault="00486AFB" w:rsidP="009C013F">
            <w:r w:rsidRPr="002A5BDD">
              <w:rPr>
                <w:rFonts w:ascii="Calibri" w:eastAsia="Times New Roman" w:hAnsi="Calibri"/>
                <w:kern w:val="20"/>
                <w:lang w:eastAsia="cs-CZ"/>
              </w:rPr>
              <w:t>Náklady celkem</w:t>
            </w:r>
          </w:p>
        </w:tc>
        <w:tc>
          <w:tcPr>
            <w:tcW w:w="1842" w:type="dxa"/>
          </w:tcPr>
          <w:p w14:paraId="565FD3A0" w14:textId="77777777" w:rsidR="00486AFB" w:rsidRPr="005D0AFC" w:rsidRDefault="00486AFB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AFC">
              <w:t>160 938</w:t>
            </w:r>
          </w:p>
        </w:tc>
        <w:tc>
          <w:tcPr>
            <w:tcW w:w="1843" w:type="dxa"/>
          </w:tcPr>
          <w:p w14:paraId="35468E26" w14:textId="77777777" w:rsidR="00486AFB" w:rsidRPr="005D0AFC" w:rsidRDefault="00486AFB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AFC">
              <w:t>142 054</w:t>
            </w:r>
          </w:p>
        </w:tc>
        <w:tc>
          <w:tcPr>
            <w:tcW w:w="1843" w:type="dxa"/>
          </w:tcPr>
          <w:p w14:paraId="6EC8064B" w14:textId="77777777" w:rsidR="00486AFB" w:rsidRPr="009D025B" w:rsidRDefault="009D025B" w:rsidP="004B2A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025B">
              <w:t>157 538</w:t>
            </w:r>
          </w:p>
        </w:tc>
      </w:tr>
      <w:tr w:rsidR="00486AFB" w14:paraId="1978405B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2A83CE69" w14:textId="77777777" w:rsidR="00486AFB" w:rsidRDefault="00486AFB" w:rsidP="009C013F">
            <w:r w:rsidRPr="002A5BDD">
              <w:rPr>
                <w:rFonts w:ascii="Calibri" w:eastAsia="Times New Roman" w:hAnsi="Calibri"/>
                <w:kern w:val="20"/>
                <w:lang w:eastAsia="cs-CZ"/>
              </w:rPr>
              <w:t>Tržby celkem</w:t>
            </w:r>
          </w:p>
        </w:tc>
        <w:tc>
          <w:tcPr>
            <w:tcW w:w="1842" w:type="dxa"/>
          </w:tcPr>
          <w:p w14:paraId="1D9251B0" w14:textId="77777777" w:rsidR="00486AFB" w:rsidRPr="005D0AFC" w:rsidRDefault="00486AFB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0AFC">
              <w:t>158 411</w:t>
            </w:r>
          </w:p>
        </w:tc>
        <w:tc>
          <w:tcPr>
            <w:tcW w:w="1843" w:type="dxa"/>
          </w:tcPr>
          <w:p w14:paraId="1154819E" w14:textId="77777777" w:rsidR="00486AFB" w:rsidRPr="005D0AFC" w:rsidRDefault="00486AFB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0AFC">
              <w:t>144 864</w:t>
            </w:r>
          </w:p>
        </w:tc>
        <w:tc>
          <w:tcPr>
            <w:tcW w:w="1843" w:type="dxa"/>
          </w:tcPr>
          <w:p w14:paraId="71FD321C" w14:textId="77777777" w:rsidR="00486AFB" w:rsidRPr="00A548BF" w:rsidRDefault="00A548BF" w:rsidP="00871DF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548BF">
              <w:t>135 670</w:t>
            </w:r>
          </w:p>
        </w:tc>
      </w:tr>
      <w:tr w:rsidR="00486AFB" w14:paraId="401B123D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354990FE" w14:textId="77777777" w:rsidR="00486AFB" w:rsidRDefault="00486AFB" w:rsidP="009C013F">
            <w:r w:rsidRPr="002A5BDD">
              <w:rPr>
                <w:rFonts w:ascii="Calibri" w:eastAsia="Times New Roman" w:hAnsi="Calibri"/>
                <w:kern w:val="20"/>
                <w:lang w:eastAsia="cs-CZ"/>
              </w:rPr>
              <w:t>Výkonová spotřeba</w:t>
            </w:r>
          </w:p>
        </w:tc>
        <w:tc>
          <w:tcPr>
            <w:tcW w:w="1842" w:type="dxa"/>
          </w:tcPr>
          <w:p w14:paraId="624C2102" w14:textId="77777777" w:rsidR="00486AFB" w:rsidRDefault="00486AFB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63 448</w:t>
            </w:r>
          </w:p>
        </w:tc>
        <w:tc>
          <w:tcPr>
            <w:tcW w:w="1843" w:type="dxa"/>
          </w:tcPr>
          <w:p w14:paraId="1D9B4789" w14:textId="77777777" w:rsidR="00486AFB" w:rsidRDefault="00486AFB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62 415</w:t>
            </w:r>
          </w:p>
        </w:tc>
        <w:tc>
          <w:tcPr>
            <w:tcW w:w="1843" w:type="dxa"/>
          </w:tcPr>
          <w:p w14:paraId="69140545" w14:textId="77777777" w:rsidR="00486AFB" w:rsidRPr="00A548BF" w:rsidRDefault="00C0252A" w:rsidP="00C0252A">
            <w:pPr>
              <w:tabs>
                <w:tab w:val="center" w:pos="813"/>
                <w:tab w:val="right" w:pos="16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>
              <w:tab/>
            </w:r>
            <w:r w:rsidR="00A548BF" w:rsidRPr="00A548BF">
              <w:t>63 279</w:t>
            </w:r>
          </w:p>
        </w:tc>
      </w:tr>
      <w:tr w:rsidR="00486AFB" w14:paraId="668DD234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699796C2" w14:textId="77777777" w:rsidR="00486AFB" w:rsidRDefault="00486AFB" w:rsidP="009C013F">
            <w:r>
              <w:rPr>
                <w:rFonts w:ascii="Calibri" w:eastAsia="Times New Roman" w:hAnsi="Calibri"/>
                <w:kern w:val="20"/>
                <w:lang w:eastAsia="cs-CZ"/>
              </w:rPr>
              <w:t>Změna stavu zásob a aktivace</w:t>
            </w:r>
          </w:p>
        </w:tc>
        <w:tc>
          <w:tcPr>
            <w:tcW w:w="1842" w:type="dxa"/>
          </w:tcPr>
          <w:p w14:paraId="777F8031" w14:textId="77777777" w:rsidR="00486AFB" w:rsidRDefault="00486AFB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- 1 976</w:t>
            </w:r>
          </w:p>
        </w:tc>
        <w:tc>
          <w:tcPr>
            <w:tcW w:w="1843" w:type="dxa"/>
          </w:tcPr>
          <w:p w14:paraId="7165D155" w14:textId="77777777" w:rsidR="00486AFB" w:rsidRDefault="00486AFB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- 25 906</w:t>
            </w:r>
          </w:p>
        </w:tc>
        <w:tc>
          <w:tcPr>
            <w:tcW w:w="1843" w:type="dxa"/>
          </w:tcPr>
          <w:p w14:paraId="6A1C9BB1" w14:textId="77777777" w:rsidR="00486AFB" w:rsidRPr="00A548BF" w:rsidRDefault="00486AFB" w:rsidP="00BC68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548BF">
              <w:t>- </w:t>
            </w:r>
            <w:r w:rsidR="00A548BF" w:rsidRPr="00A548BF">
              <w:t xml:space="preserve">9 </w:t>
            </w:r>
            <w:r w:rsidR="00BC68AF">
              <w:t>372</w:t>
            </w:r>
          </w:p>
        </w:tc>
      </w:tr>
      <w:tr w:rsidR="00486AFB" w14:paraId="648FD98C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69C60D39" w14:textId="77777777" w:rsidR="00486AFB" w:rsidRDefault="00486AFB" w:rsidP="009C013F">
            <w:r w:rsidRPr="002A5BDD">
              <w:rPr>
                <w:rFonts w:ascii="Calibri" w:eastAsia="Times New Roman" w:hAnsi="Calibri"/>
                <w:kern w:val="20"/>
                <w:lang w:eastAsia="cs-CZ"/>
              </w:rPr>
              <w:t>Přidaná hodnota</w:t>
            </w:r>
          </w:p>
        </w:tc>
        <w:tc>
          <w:tcPr>
            <w:tcW w:w="1842" w:type="dxa"/>
          </w:tcPr>
          <w:p w14:paraId="6DF638F8" w14:textId="77777777" w:rsidR="00486AFB" w:rsidRPr="00E976F6" w:rsidRDefault="00486AFB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6F6">
              <w:t>96 624</w:t>
            </w:r>
          </w:p>
        </w:tc>
        <w:tc>
          <w:tcPr>
            <w:tcW w:w="1843" w:type="dxa"/>
          </w:tcPr>
          <w:p w14:paraId="19F46633" w14:textId="77777777" w:rsidR="00486AFB" w:rsidRPr="00E976F6" w:rsidRDefault="00486AFB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6F6">
              <w:t>104 487</w:t>
            </w:r>
          </w:p>
        </w:tc>
        <w:tc>
          <w:tcPr>
            <w:tcW w:w="1843" w:type="dxa"/>
          </w:tcPr>
          <w:p w14:paraId="50017FC7" w14:textId="77777777" w:rsidR="00486AFB" w:rsidRPr="00FF001C" w:rsidRDefault="00FF001C" w:rsidP="00E976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001C">
              <w:t>81 412</w:t>
            </w:r>
          </w:p>
        </w:tc>
      </w:tr>
      <w:tr w:rsidR="00C21B9F" w:rsidRPr="00C21B9F" w14:paraId="4D3E037A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7D99AB0B" w14:textId="77777777" w:rsidR="00486AFB" w:rsidRDefault="00486AFB" w:rsidP="009C013F">
            <w:r w:rsidRPr="002A5BDD">
              <w:rPr>
                <w:rFonts w:ascii="Calibri" w:eastAsia="Times New Roman" w:hAnsi="Calibri"/>
                <w:kern w:val="20"/>
                <w:lang w:eastAsia="cs-CZ"/>
              </w:rPr>
              <w:t>Vlastní kapitál</w:t>
            </w:r>
          </w:p>
        </w:tc>
        <w:tc>
          <w:tcPr>
            <w:tcW w:w="1842" w:type="dxa"/>
          </w:tcPr>
          <w:p w14:paraId="0B43C760" w14:textId="77777777" w:rsidR="00486AFB" w:rsidRDefault="00486AFB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136 683</w:t>
            </w:r>
          </w:p>
        </w:tc>
        <w:tc>
          <w:tcPr>
            <w:tcW w:w="1843" w:type="dxa"/>
          </w:tcPr>
          <w:p w14:paraId="42446373" w14:textId="77777777" w:rsidR="00486AFB" w:rsidRDefault="00486AFB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139 503</w:t>
            </w:r>
          </w:p>
        </w:tc>
        <w:tc>
          <w:tcPr>
            <w:tcW w:w="1843" w:type="dxa"/>
          </w:tcPr>
          <w:p w14:paraId="54A807BF" w14:textId="77777777" w:rsidR="00486AFB" w:rsidRPr="00C21B9F" w:rsidRDefault="00C21B9F" w:rsidP="008059B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1B9F">
              <w:t>117 725</w:t>
            </w:r>
          </w:p>
        </w:tc>
      </w:tr>
      <w:tr w:rsidR="00C21B9F" w:rsidRPr="00C21B9F" w14:paraId="304DD9A3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5F183809" w14:textId="77777777" w:rsidR="00486AFB" w:rsidRDefault="00486AFB" w:rsidP="009C013F">
            <w:r w:rsidRPr="002A5BDD">
              <w:rPr>
                <w:rFonts w:ascii="Calibri" w:eastAsia="Times New Roman" w:hAnsi="Calibri"/>
                <w:kern w:val="20"/>
                <w:lang w:eastAsia="cs-CZ"/>
              </w:rPr>
              <w:t>Úvěry bankovní</w:t>
            </w:r>
          </w:p>
        </w:tc>
        <w:tc>
          <w:tcPr>
            <w:tcW w:w="1842" w:type="dxa"/>
          </w:tcPr>
          <w:p w14:paraId="3F2A8D82" w14:textId="77777777" w:rsidR="00486AFB" w:rsidRPr="0041298A" w:rsidRDefault="00486AFB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0</w:t>
            </w:r>
          </w:p>
        </w:tc>
        <w:tc>
          <w:tcPr>
            <w:tcW w:w="1843" w:type="dxa"/>
          </w:tcPr>
          <w:p w14:paraId="5E837EB4" w14:textId="77777777" w:rsidR="00486AFB" w:rsidRPr="0041298A" w:rsidRDefault="00486AFB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0</w:t>
            </w:r>
          </w:p>
        </w:tc>
        <w:tc>
          <w:tcPr>
            <w:tcW w:w="1843" w:type="dxa"/>
          </w:tcPr>
          <w:p w14:paraId="75A0AE5B" w14:textId="77777777" w:rsidR="00486AFB" w:rsidRPr="00C21B9F" w:rsidRDefault="00486AFB" w:rsidP="00E37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1B9F">
              <w:t>0</w:t>
            </w:r>
          </w:p>
        </w:tc>
      </w:tr>
      <w:tr w:rsidR="00486AFB" w14:paraId="59849A90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35A3105E" w14:textId="77777777" w:rsidR="00486AFB" w:rsidRDefault="00486AFB" w:rsidP="009C013F">
            <w:r w:rsidRPr="002A5BDD">
              <w:rPr>
                <w:rFonts w:ascii="Calibri" w:eastAsia="Times New Roman" w:hAnsi="Calibri"/>
                <w:kern w:val="20"/>
                <w:lang w:eastAsia="cs-CZ"/>
              </w:rPr>
              <w:t>Obchodní pohledávky</w:t>
            </w:r>
          </w:p>
        </w:tc>
        <w:tc>
          <w:tcPr>
            <w:tcW w:w="1842" w:type="dxa"/>
          </w:tcPr>
          <w:p w14:paraId="4BB7AAEF" w14:textId="77777777" w:rsidR="00486AFB" w:rsidRPr="008059B9" w:rsidRDefault="00486AFB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59B9">
              <w:t>12 520</w:t>
            </w:r>
          </w:p>
        </w:tc>
        <w:tc>
          <w:tcPr>
            <w:tcW w:w="1843" w:type="dxa"/>
          </w:tcPr>
          <w:p w14:paraId="602562EC" w14:textId="77777777" w:rsidR="00486AFB" w:rsidRPr="008059B9" w:rsidRDefault="00486AFB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59B9">
              <w:t>8 815</w:t>
            </w:r>
          </w:p>
        </w:tc>
        <w:tc>
          <w:tcPr>
            <w:tcW w:w="1843" w:type="dxa"/>
          </w:tcPr>
          <w:p w14:paraId="1550D83F" w14:textId="77777777" w:rsidR="00486AFB" w:rsidRPr="001F4708" w:rsidRDefault="001F4708" w:rsidP="008059B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F4708">
              <w:t>8 427</w:t>
            </w:r>
          </w:p>
        </w:tc>
      </w:tr>
      <w:tr w:rsidR="00486AFB" w14:paraId="3A94BD59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4F2A708F" w14:textId="77777777" w:rsidR="00486AFB" w:rsidRDefault="00486AFB" w:rsidP="009C013F">
            <w:r w:rsidRPr="002A5BDD">
              <w:rPr>
                <w:rFonts w:ascii="Calibri" w:eastAsia="Times New Roman" w:hAnsi="Calibri"/>
                <w:kern w:val="20"/>
                <w:lang w:eastAsia="cs-CZ"/>
              </w:rPr>
              <w:t>Obchodní závazky</w:t>
            </w:r>
          </w:p>
        </w:tc>
        <w:tc>
          <w:tcPr>
            <w:tcW w:w="1842" w:type="dxa"/>
          </w:tcPr>
          <w:p w14:paraId="2A2D0D85" w14:textId="77777777" w:rsidR="00486AFB" w:rsidRPr="008059B9" w:rsidRDefault="00486AFB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9B9">
              <w:t>3 333</w:t>
            </w:r>
          </w:p>
        </w:tc>
        <w:tc>
          <w:tcPr>
            <w:tcW w:w="1843" w:type="dxa"/>
          </w:tcPr>
          <w:p w14:paraId="1D6C6C8D" w14:textId="77777777" w:rsidR="00486AFB" w:rsidRPr="008059B9" w:rsidRDefault="00486AFB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9B9">
              <w:t>2 101</w:t>
            </w:r>
          </w:p>
        </w:tc>
        <w:tc>
          <w:tcPr>
            <w:tcW w:w="1843" w:type="dxa"/>
          </w:tcPr>
          <w:p w14:paraId="638D30C4" w14:textId="77777777" w:rsidR="00486AFB" w:rsidRPr="001F4708" w:rsidRDefault="001F4708" w:rsidP="008059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4708">
              <w:t>3 096</w:t>
            </w:r>
          </w:p>
        </w:tc>
      </w:tr>
      <w:tr w:rsidR="001F4708" w:rsidRPr="001F4708" w14:paraId="19DB5BFC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7730D99E" w14:textId="77777777" w:rsidR="00486AFB" w:rsidRDefault="00486AFB" w:rsidP="009C013F">
            <w:r w:rsidRPr="002A5BDD">
              <w:rPr>
                <w:rFonts w:ascii="Calibri" w:eastAsia="Times New Roman" w:hAnsi="Calibri"/>
                <w:kern w:val="20"/>
                <w:lang w:eastAsia="cs-CZ"/>
              </w:rPr>
              <w:t>HV před zdaněním</w:t>
            </w:r>
          </w:p>
        </w:tc>
        <w:tc>
          <w:tcPr>
            <w:tcW w:w="1842" w:type="dxa"/>
          </w:tcPr>
          <w:p w14:paraId="28197DE2" w14:textId="77777777" w:rsidR="00486AFB" w:rsidRDefault="00486AFB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- 2 848</w:t>
            </w:r>
          </w:p>
        </w:tc>
        <w:tc>
          <w:tcPr>
            <w:tcW w:w="1843" w:type="dxa"/>
          </w:tcPr>
          <w:p w14:paraId="74FF07C3" w14:textId="77777777" w:rsidR="00486AFB" w:rsidRDefault="00486AFB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 3 059</w:t>
            </w:r>
          </w:p>
        </w:tc>
        <w:tc>
          <w:tcPr>
            <w:tcW w:w="1843" w:type="dxa"/>
          </w:tcPr>
          <w:p w14:paraId="76D9BAAC" w14:textId="77777777" w:rsidR="00486AFB" w:rsidRPr="001F4708" w:rsidRDefault="001F4708" w:rsidP="00E336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F4708">
              <w:t>-19 16</w:t>
            </w:r>
            <w:r w:rsidR="00E33689">
              <w:t>7</w:t>
            </w:r>
          </w:p>
        </w:tc>
      </w:tr>
      <w:tr w:rsidR="001F4708" w:rsidRPr="001F4708" w14:paraId="5262A732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0F64A3FF" w14:textId="77777777" w:rsidR="00486AFB" w:rsidRPr="002A5BDD" w:rsidRDefault="00486AFB" w:rsidP="009C013F">
            <w:pPr>
              <w:rPr>
                <w:rFonts w:ascii="Calibri" w:eastAsia="Times New Roman" w:hAnsi="Calibri"/>
                <w:bCs w:val="0"/>
                <w:kern w:val="20"/>
                <w:lang w:eastAsia="cs-CZ"/>
              </w:rPr>
            </w:pPr>
            <w:r w:rsidRPr="002A5BDD">
              <w:rPr>
                <w:rFonts w:ascii="Calibri" w:eastAsia="Times New Roman" w:hAnsi="Calibri"/>
                <w:kern w:val="20"/>
                <w:lang w:eastAsia="cs-CZ"/>
              </w:rPr>
              <w:t>Běžný HV</w:t>
            </w:r>
          </w:p>
        </w:tc>
        <w:tc>
          <w:tcPr>
            <w:tcW w:w="1842" w:type="dxa"/>
          </w:tcPr>
          <w:p w14:paraId="22F43220" w14:textId="77777777" w:rsidR="00486AFB" w:rsidRDefault="00486AFB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- 1 643</w:t>
            </w:r>
          </w:p>
        </w:tc>
        <w:tc>
          <w:tcPr>
            <w:tcW w:w="1843" w:type="dxa"/>
          </w:tcPr>
          <w:p w14:paraId="0D33A9DA" w14:textId="77777777" w:rsidR="00486AFB" w:rsidRDefault="00486AFB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3 900</w:t>
            </w:r>
          </w:p>
        </w:tc>
        <w:tc>
          <w:tcPr>
            <w:tcW w:w="1843" w:type="dxa"/>
          </w:tcPr>
          <w:p w14:paraId="1207DAD4" w14:textId="77777777" w:rsidR="00486AFB" w:rsidRPr="001F4708" w:rsidRDefault="001F4708" w:rsidP="008059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4708">
              <w:t>-20 923</w:t>
            </w:r>
          </w:p>
        </w:tc>
      </w:tr>
      <w:tr w:rsidR="00486AFB" w14:paraId="05F8D3C6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2DB4FB23" w14:textId="77777777" w:rsidR="00486AFB" w:rsidRPr="002A5BDD" w:rsidRDefault="00486AFB" w:rsidP="009C013F">
            <w:pPr>
              <w:rPr>
                <w:rFonts w:ascii="Calibri" w:eastAsia="Times New Roman" w:hAnsi="Calibri"/>
                <w:bCs w:val="0"/>
                <w:kern w:val="20"/>
                <w:lang w:eastAsia="cs-CZ"/>
              </w:rPr>
            </w:pPr>
            <w:r w:rsidRPr="002A5BDD">
              <w:rPr>
                <w:rFonts w:ascii="Calibri" w:eastAsia="Times New Roman" w:hAnsi="Calibri"/>
                <w:kern w:val="20"/>
                <w:lang w:eastAsia="cs-CZ"/>
              </w:rPr>
              <w:t>Čistý obrat</w:t>
            </w:r>
          </w:p>
        </w:tc>
        <w:tc>
          <w:tcPr>
            <w:tcW w:w="1842" w:type="dxa"/>
          </w:tcPr>
          <w:p w14:paraId="13133C9E" w14:textId="77777777" w:rsidR="00486AFB" w:rsidRDefault="00486AFB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159 295</w:t>
            </w:r>
          </w:p>
        </w:tc>
        <w:tc>
          <w:tcPr>
            <w:tcW w:w="1843" w:type="dxa"/>
          </w:tcPr>
          <w:p w14:paraId="64093723" w14:textId="77777777" w:rsidR="00486AFB" w:rsidRDefault="00486AFB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145 953</w:t>
            </w:r>
          </w:p>
        </w:tc>
        <w:tc>
          <w:tcPr>
            <w:tcW w:w="1843" w:type="dxa"/>
          </w:tcPr>
          <w:p w14:paraId="50952D54" w14:textId="77777777" w:rsidR="00486AFB" w:rsidRPr="001F4708" w:rsidRDefault="001F4708" w:rsidP="00BC68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F4708">
              <w:t xml:space="preserve">136 </w:t>
            </w:r>
            <w:r w:rsidR="00BC68AF">
              <w:t>615</w:t>
            </w:r>
          </w:p>
        </w:tc>
      </w:tr>
    </w:tbl>
    <w:p w14:paraId="35E107C1" w14:textId="77777777" w:rsidR="009C013F" w:rsidRPr="009C013F" w:rsidRDefault="009C013F" w:rsidP="009C013F"/>
    <w:p w14:paraId="14F35321" w14:textId="77777777" w:rsidR="001D2456" w:rsidRDefault="001D2456" w:rsidP="001D2456">
      <w:pPr>
        <w:rPr>
          <w:sz w:val="18"/>
          <w:szCs w:val="18"/>
        </w:rPr>
      </w:pPr>
      <w:r>
        <w:br w:type="page"/>
      </w:r>
    </w:p>
    <w:p w14:paraId="55C8CE90" w14:textId="77777777" w:rsidR="001D2456" w:rsidRPr="00F86634" w:rsidRDefault="001D2456" w:rsidP="002131F1">
      <w:pPr>
        <w:pStyle w:val="Nadpis1"/>
        <w:spacing w:after="200"/>
        <w:rPr>
          <w:color w:val="365F91" w:themeColor="accent1" w:themeShade="BF"/>
        </w:rPr>
      </w:pPr>
      <w:bookmarkStart w:id="4" w:name="_Toc45113404"/>
      <w:r w:rsidRPr="00F86634">
        <w:rPr>
          <w:color w:val="365F91" w:themeColor="accent1" w:themeShade="BF"/>
        </w:rPr>
        <w:lastRenderedPageBreak/>
        <w:t>FINANČNÍ VÝKAZY</w:t>
      </w:r>
      <w:bookmarkEnd w:id="4"/>
    </w:p>
    <w:p w14:paraId="13A93F49" w14:textId="77777777" w:rsidR="00AC2A88" w:rsidRPr="00344324" w:rsidRDefault="00AC2A88" w:rsidP="002131F1">
      <w:pPr>
        <w:pStyle w:val="Titulek"/>
        <w:keepNext/>
        <w:rPr>
          <w:color w:val="002060"/>
          <w:sz w:val="24"/>
          <w:szCs w:val="24"/>
        </w:rPr>
      </w:pPr>
      <w:r w:rsidRPr="00344324">
        <w:rPr>
          <w:color w:val="002060"/>
          <w:sz w:val="24"/>
          <w:szCs w:val="24"/>
        </w:rPr>
        <w:t>ROZVAHA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3855"/>
        <w:gridCol w:w="1701"/>
        <w:gridCol w:w="1701"/>
        <w:gridCol w:w="1701"/>
      </w:tblGrid>
      <w:tr w:rsidR="00067B1C" w14:paraId="36A7B431" w14:textId="77777777" w:rsidTr="00E33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Merge w:val="restart"/>
          </w:tcPr>
          <w:p w14:paraId="5EED863F" w14:textId="77777777" w:rsidR="00067B1C" w:rsidRPr="00C0252A" w:rsidRDefault="00067B1C" w:rsidP="00F01CFA">
            <w:pPr>
              <w:ind w:left="-227" w:firstLine="227"/>
              <w:rPr>
                <w:b w:val="0"/>
              </w:rPr>
            </w:pPr>
            <w:r w:rsidRPr="00C0252A">
              <w:t>Český porcelán, a. s.</w:t>
            </w:r>
          </w:p>
        </w:tc>
        <w:tc>
          <w:tcPr>
            <w:tcW w:w="1701" w:type="dxa"/>
          </w:tcPr>
          <w:p w14:paraId="5943F79A" w14:textId="77777777" w:rsidR="00067B1C" w:rsidRPr="00C0252A" w:rsidRDefault="00067B1C" w:rsidP="00222E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0252A">
              <w:t>2017</w:t>
            </w:r>
          </w:p>
        </w:tc>
        <w:tc>
          <w:tcPr>
            <w:tcW w:w="1701" w:type="dxa"/>
          </w:tcPr>
          <w:p w14:paraId="1F7EAB2F" w14:textId="77777777" w:rsidR="00067B1C" w:rsidRPr="00C0252A" w:rsidRDefault="00067B1C" w:rsidP="00222E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0252A">
              <w:t>2018</w:t>
            </w:r>
          </w:p>
        </w:tc>
        <w:tc>
          <w:tcPr>
            <w:tcW w:w="1701" w:type="dxa"/>
          </w:tcPr>
          <w:p w14:paraId="5979F48D" w14:textId="77777777" w:rsidR="00067B1C" w:rsidRPr="00C0252A" w:rsidRDefault="00067B1C" w:rsidP="001C0A7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0252A">
              <w:t>201</w:t>
            </w:r>
            <w:r w:rsidR="001C0A7E" w:rsidRPr="00C0252A">
              <w:t>9</w:t>
            </w:r>
          </w:p>
        </w:tc>
      </w:tr>
      <w:tr w:rsidR="00067B1C" w14:paraId="7CE56A2C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Merge/>
          </w:tcPr>
          <w:p w14:paraId="5AB89603" w14:textId="77777777" w:rsidR="00067B1C" w:rsidRPr="00C0252A" w:rsidRDefault="00067B1C" w:rsidP="00FE062D">
            <w:pPr>
              <w:rPr>
                <w:b w:val="0"/>
              </w:rPr>
            </w:pPr>
          </w:p>
        </w:tc>
        <w:tc>
          <w:tcPr>
            <w:tcW w:w="1701" w:type="dxa"/>
          </w:tcPr>
          <w:p w14:paraId="765FE59A" w14:textId="77777777" w:rsidR="00067B1C" w:rsidRPr="00C0252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52A">
              <w:t>tis. Kč</w:t>
            </w:r>
          </w:p>
        </w:tc>
        <w:tc>
          <w:tcPr>
            <w:tcW w:w="1701" w:type="dxa"/>
          </w:tcPr>
          <w:p w14:paraId="57F83017" w14:textId="77777777" w:rsidR="00067B1C" w:rsidRPr="00C0252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52A">
              <w:t>tis. Kč</w:t>
            </w:r>
          </w:p>
        </w:tc>
        <w:tc>
          <w:tcPr>
            <w:tcW w:w="1701" w:type="dxa"/>
          </w:tcPr>
          <w:p w14:paraId="6759D8F7" w14:textId="77777777" w:rsidR="00067B1C" w:rsidRPr="00C0252A" w:rsidRDefault="00067B1C" w:rsidP="00FE06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52A">
              <w:t>tis. Kč</w:t>
            </w:r>
          </w:p>
        </w:tc>
      </w:tr>
      <w:tr w:rsidR="00067B1C" w14:paraId="6CE594A4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08271026" w14:textId="77777777" w:rsidR="00067B1C" w:rsidRPr="0063239F" w:rsidRDefault="00067B1C" w:rsidP="00FE062D">
            <w:r w:rsidRPr="0063239F">
              <w:rPr>
                <w:rFonts w:eastAsia="Times New Roman"/>
                <w:kern w:val="20"/>
                <w:lang w:eastAsia="cs-CZ"/>
              </w:rPr>
              <w:t>Aktiva celkem</w:t>
            </w:r>
          </w:p>
        </w:tc>
        <w:tc>
          <w:tcPr>
            <w:tcW w:w="1701" w:type="dxa"/>
          </w:tcPr>
          <w:p w14:paraId="5DA34683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154 072</w:t>
            </w:r>
          </w:p>
        </w:tc>
        <w:tc>
          <w:tcPr>
            <w:tcW w:w="1701" w:type="dxa"/>
          </w:tcPr>
          <w:p w14:paraId="5BD4FF15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1</w:t>
            </w:r>
            <w:r>
              <w:t>60</w:t>
            </w:r>
            <w:r w:rsidRPr="0041298A">
              <w:t> </w:t>
            </w:r>
            <w:r>
              <w:t>725</w:t>
            </w:r>
          </w:p>
        </w:tc>
        <w:tc>
          <w:tcPr>
            <w:tcW w:w="1701" w:type="dxa"/>
          </w:tcPr>
          <w:p w14:paraId="154AAD43" w14:textId="77777777" w:rsidR="00067B1C" w:rsidRPr="0041298A" w:rsidRDefault="00AA3CAB" w:rsidP="004B2A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144 450</w:t>
            </w:r>
          </w:p>
        </w:tc>
      </w:tr>
      <w:tr w:rsidR="00067B1C" w14:paraId="2B6ECC69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3E844559" w14:textId="77777777" w:rsidR="00067B1C" w:rsidRPr="0063239F" w:rsidRDefault="00067B1C" w:rsidP="00FE062D">
            <w:r w:rsidRPr="0063239F">
              <w:rPr>
                <w:rFonts w:eastAsia="Times New Roman"/>
                <w:kern w:val="20"/>
                <w:lang w:eastAsia="cs-CZ"/>
              </w:rPr>
              <w:t>Dlouhodobý majetek</w:t>
            </w:r>
          </w:p>
        </w:tc>
        <w:tc>
          <w:tcPr>
            <w:tcW w:w="1701" w:type="dxa"/>
          </w:tcPr>
          <w:p w14:paraId="73654537" w14:textId="77777777" w:rsidR="00067B1C" w:rsidRPr="0041298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78 340</w:t>
            </w:r>
          </w:p>
        </w:tc>
        <w:tc>
          <w:tcPr>
            <w:tcW w:w="1701" w:type="dxa"/>
          </w:tcPr>
          <w:p w14:paraId="0F1D3FAD" w14:textId="77777777" w:rsidR="00067B1C" w:rsidRPr="0041298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</w:t>
            </w:r>
            <w:r w:rsidRPr="0041298A">
              <w:t> </w:t>
            </w:r>
            <w:r>
              <w:t>414</w:t>
            </w:r>
          </w:p>
        </w:tc>
        <w:tc>
          <w:tcPr>
            <w:tcW w:w="1701" w:type="dxa"/>
          </w:tcPr>
          <w:p w14:paraId="70208A84" w14:textId="77777777" w:rsidR="00067B1C" w:rsidRPr="001C0A7E" w:rsidRDefault="001C0A7E" w:rsidP="004B2A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A7E">
              <w:t>63 041</w:t>
            </w:r>
          </w:p>
        </w:tc>
      </w:tr>
      <w:tr w:rsidR="00067B1C" w14:paraId="1CDC08EB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54A4A5B2" w14:textId="77777777" w:rsidR="00067B1C" w:rsidRPr="0063239F" w:rsidRDefault="00067B1C" w:rsidP="00FE062D">
            <w:r w:rsidRPr="0063239F">
              <w:rPr>
                <w:rFonts w:eastAsia="Times New Roman"/>
                <w:kern w:val="20"/>
                <w:lang w:eastAsia="cs-CZ"/>
              </w:rPr>
              <w:t>Dlouhodobý nehmotný majetek</w:t>
            </w:r>
          </w:p>
        </w:tc>
        <w:tc>
          <w:tcPr>
            <w:tcW w:w="1701" w:type="dxa"/>
          </w:tcPr>
          <w:p w14:paraId="4B75776E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105</w:t>
            </w:r>
          </w:p>
        </w:tc>
        <w:tc>
          <w:tcPr>
            <w:tcW w:w="1701" w:type="dxa"/>
          </w:tcPr>
          <w:p w14:paraId="747381A9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1</w:t>
            </w:r>
            <w:r>
              <w:t>59</w:t>
            </w:r>
          </w:p>
        </w:tc>
        <w:tc>
          <w:tcPr>
            <w:tcW w:w="1701" w:type="dxa"/>
          </w:tcPr>
          <w:p w14:paraId="0E423446" w14:textId="77777777" w:rsidR="00067B1C" w:rsidRPr="001C0A7E" w:rsidRDefault="001C0A7E" w:rsidP="004B2A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0A7E">
              <w:t>81</w:t>
            </w:r>
          </w:p>
        </w:tc>
      </w:tr>
      <w:tr w:rsidR="00067B1C" w14:paraId="123BDEC2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404EEEA5" w14:textId="77777777" w:rsidR="00067B1C" w:rsidRPr="0063239F" w:rsidRDefault="00067B1C" w:rsidP="00FE062D">
            <w:r w:rsidRPr="0063239F">
              <w:rPr>
                <w:rFonts w:eastAsia="Times New Roman"/>
                <w:kern w:val="20"/>
                <w:lang w:eastAsia="cs-CZ"/>
              </w:rPr>
              <w:t>Dlouhodobý hmotný majetek</w:t>
            </w:r>
          </w:p>
        </w:tc>
        <w:tc>
          <w:tcPr>
            <w:tcW w:w="1701" w:type="dxa"/>
          </w:tcPr>
          <w:p w14:paraId="2F261086" w14:textId="77777777" w:rsidR="00067B1C" w:rsidRPr="0041298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78 233</w:t>
            </w:r>
          </w:p>
        </w:tc>
        <w:tc>
          <w:tcPr>
            <w:tcW w:w="1701" w:type="dxa"/>
          </w:tcPr>
          <w:p w14:paraId="6254C3B0" w14:textId="77777777" w:rsidR="00067B1C" w:rsidRPr="0041298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</w:t>
            </w:r>
            <w:r w:rsidRPr="0041298A">
              <w:t> 2</w:t>
            </w:r>
            <w:r>
              <w:t>5</w:t>
            </w:r>
            <w:r w:rsidRPr="0041298A">
              <w:t>3</w:t>
            </w:r>
          </w:p>
        </w:tc>
        <w:tc>
          <w:tcPr>
            <w:tcW w:w="1701" w:type="dxa"/>
          </w:tcPr>
          <w:p w14:paraId="68E41D10" w14:textId="77777777" w:rsidR="00067B1C" w:rsidRPr="001C0A7E" w:rsidRDefault="001C0A7E" w:rsidP="004B2A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A7E">
              <w:t>62 958</w:t>
            </w:r>
          </w:p>
        </w:tc>
      </w:tr>
      <w:tr w:rsidR="00067B1C" w14:paraId="5C687502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1DDD7A31" w14:textId="77777777" w:rsidR="00067B1C" w:rsidRPr="0063239F" w:rsidRDefault="00067B1C" w:rsidP="00FE062D">
            <w:r w:rsidRPr="0063239F">
              <w:rPr>
                <w:rFonts w:eastAsia="Times New Roman"/>
                <w:kern w:val="20"/>
                <w:lang w:eastAsia="cs-CZ"/>
              </w:rPr>
              <w:t>Dlouhodobý finanční majetek</w:t>
            </w:r>
          </w:p>
        </w:tc>
        <w:tc>
          <w:tcPr>
            <w:tcW w:w="1701" w:type="dxa"/>
          </w:tcPr>
          <w:p w14:paraId="54A568BD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2</w:t>
            </w:r>
          </w:p>
        </w:tc>
        <w:tc>
          <w:tcPr>
            <w:tcW w:w="1701" w:type="dxa"/>
          </w:tcPr>
          <w:p w14:paraId="68B00AAD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2</w:t>
            </w:r>
          </w:p>
        </w:tc>
        <w:tc>
          <w:tcPr>
            <w:tcW w:w="1701" w:type="dxa"/>
          </w:tcPr>
          <w:p w14:paraId="44967DE4" w14:textId="77777777" w:rsidR="00067B1C" w:rsidRPr="001C0A7E" w:rsidRDefault="00067B1C" w:rsidP="00FE062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0A7E">
              <w:t>2</w:t>
            </w:r>
          </w:p>
        </w:tc>
      </w:tr>
      <w:tr w:rsidR="001C0A7E" w:rsidRPr="001C0A7E" w14:paraId="46F2AD25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2E5DBE1F" w14:textId="77777777" w:rsidR="00067B1C" w:rsidRPr="0063239F" w:rsidRDefault="00067B1C" w:rsidP="00FE062D">
            <w:r w:rsidRPr="0063239F">
              <w:rPr>
                <w:rFonts w:eastAsia="Times New Roman"/>
                <w:kern w:val="20"/>
                <w:lang w:eastAsia="cs-CZ"/>
              </w:rPr>
              <w:t>Oběžná aktiva</w:t>
            </w:r>
          </w:p>
        </w:tc>
        <w:tc>
          <w:tcPr>
            <w:tcW w:w="1701" w:type="dxa"/>
          </w:tcPr>
          <w:p w14:paraId="5D53706B" w14:textId="77777777" w:rsidR="00067B1C" w:rsidRPr="0041298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74 942</w:t>
            </w:r>
          </w:p>
        </w:tc>
        <w:tc>
          <w:tcPr>
            <w:tcW w:w="1701" w:type="dxa"/>
          </w:tcPr>
          <w:p w14:paraId="650CABCF" w14:textId="77777777" w:rsidR="00067B1C" w:rsidRPr="0041298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  <w:r w:rsidRPr="0041298A">
              <w:t> </w:t>
            </w:r>
            <w:r>
              <w:t>673</w:t>
            </w:r>
          </w:p>
        </w:tc>
        <w:tc>
          <w:tcPr>
            <w:tcW w:w="1701" w:type="dxa"/>
          </w:tcPr>
          <w:p w14:paraId="32281677" w14:textId="77777777" w:rsidR="00067B1C" w:rsidRPr="001C0A7E" w:rsidRDefault="001C0A7E" w:rsidP="004B2A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A7E">
              <w:t>81 111</w:t>
            </w:r>
          </w:p>
        </w:tc>
      </w:tr>
      <w:tr w:rsidR="00067B1C" w14:paraId="3FC1A993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66E93D14" w14:textId="77777777" w:rsidR="00067B1C" w:rsidRPr="0063239F" w:rsidRDefault="00067B1C" w:rsidP="00FE062D">
            <w:r w:rsidRPr="0063239F">
              <w:rPr>
                <w:rFonts w:eastAsia="Times New Roman"/>
                <w:kern w:val="20"/>
                <w:lang w:eastAsia="cs-CZ"/>
              </w:rPr>
              <w:t>Zásoby</w:t>
            </w:r>
          </w:p>
        </w:tc>
        <w:tc>
          <w:tcPr>
            <w:tcW w:w="1701" w:type="dxa"/>
          </w:tcPr>
          <w:p w14:paraId="1CD923E6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32 735</w:t>
            </w:r>
          </w:p>
        </w:tc>
        <w:tc>
          <w:tcPr>
            <w:tcW w:w="1701" w:type="dxa"/>
          </w:tcPr>
          <w:p w14:paraId="5142FD27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</w:t>
            </w:r>
            <w:r w:rsidRPr="0041298A">
              <w:t> </w:t>
            </w:r>
            <w:r>
              <w:t>85</w:t>
            </w:r>
            <w:r w:rsidRPr="0041298A">
              <w:t>5</w:t>
            </w:r>
          </w:p>
        </w:tc>
        <w:tc>
          <w:tcPr>
            <w:tcW w:w="1701" w:type="dxa"/>
          </w:tcPr>
          <w:p w14:paraId="11F6AFC4" w14:textId="77777777" w:rsidR="00067B1C" w:rsidRPr="001C0A7E" w:rsidRDefault="001C0A7E" w:rsidP="004B2A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0A7E">
              <w:t>59 740</w:t>
            </w:r>
          </w:p>
        </w:tc>
      </w:tr>
      <w:tr w:rsidR="001C0A7E" w:rsidRPr="001C0A7E" w14:paraId="1857B63A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03934F29" w14:textId="77777777" w:rsidR="00067B1C" w:rsidRPr="0063239F" w:rsidRDefault="00067B1C" w:rsidP="00FE062D">
            <w:r w:rsidRPr="0063239F">
              <w:rPr>
                <w:rFonts w:eastAsia="Times New Roman"/>
                <w:kern w:val="20"/>
                <w:lang w:eastAsia="cs-CZ"/>
              </w:rPr>
              <w:t>Dlouhodobé pohledávky</w:t>
            </w:r>
          </w:p>
        </w:tc>
        <w:tc>
          <w:tcPr>
            <w:tcW w:w="1701" w:type="dxa"/>
          </w:tcPr>
          <w:p w14:paraId="45509ACE" w14:textId="77777777" w:rsidR="00067B1C" w:rsidRPr="0041298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0</w:t>
            </w:r>
          </w:p>
        </w:tc>
        <w:tc>
          <w:tcPr>
            <w:tcW w:w="1701" w:type="dxa"/>
          </w:tcPr>
          <w:p w14:paraId="404FB28B" w14:textId="77777777" w:rsidR="00067B1C" w:rsidRPr="0041298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318</w:t>
            </w:r>
          </w:p>
        </w:tc>
        <w:tc>
          <w:tcPr>
            <w:tcW w:w="1701" w:type="dxa"/>
          </w:tcPr>
          <w:p w14:paraId="4C8152F1" w14:textId="77777777" w:rsidR="00067B1C" w:rsidRPr="001C0A7E" w:rsidRDefault="001C0A7E" w:rsidP="00FE06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A7E">
              <w:t>0</w:t>
            </w:r>
          </w:p>
        </w:tc>
      </w:tr>
      <w:tr w:rsidR="00067B1C" w14:paraId="0B127D87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77F69E44" w14:textId="77777777" w:rsidR="00067B1C" w:rsidRPr="0063239F" w:rsidRDefault="00067B1C" w:rsidP="00FE062D">
            <w:r w:rsidRPr="0063239F">
              <w:rPr>
                <w:rFonts w:eastAsia="Times New Roman"/>
                <w:kern w:val="20"/>
                <w:lang w:eastAsia="cs-CZ"/>
              </w:rPr>
              <w:t>Krátkodobé pohledávky</w:t>
            </w:r>
          </w:p>
        </w:tc>
        <w:tc>
          <w:tcPr>
            <w:tcW w:w="1701" w:type="dxa"/>
          </w:tcPr>
          <w:p w14:paraId="4B2296AE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13 754</w:t>
            </w:r>
          </w:p>
        </w:tc>
        <w:tc>
          <w:tcPr>
            <w:tcW w:w="1701" w:type="dxa"/>
          </w:tcPr>
          <w:p w14:paraId="08FB7458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1</w:t>
            </w:r>
            <w:r>
              <w:t>0</w:t>
            </w:r>
            <w:r w:rsidRPr="0041298A">
              <w:t> </w:t>
            </w:r>
            <w:r>
              <w:t>235</w:t>
            </w:r>
          </w:p>
        </w:tc>
        <w:tc>
          <w:tcPr>
            <w:tcW w:w="1701" w:type="dxa"/>
          </w:tcPr>
          <w:p w14:paraId="31AB135C" w14:textId="77777777" w:rsidR="00067B1C" w:rsidRPr="001C0A7E" w:rsidRDefault="001C0A7E" w:rsidP="003F325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0A7E">
              <w:t>9 338</w:t>
            </w:r>
          </w:p>
        </w:tc>
      </w:tr>
      <w:tr w:rsidR="00067B1C" w14:paraId="23B67AC1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5F6653FF" w14:textId="77777777" w:rsidR="00067B1C" w:rsidRPr="0063239F" w:rsidRDefault="00067B1C" w:rsidP="00FE062D">
            <w:r w:rsidRPr="0063239F">
              <w:rPr>
                <w:rFonts w:eastAsia="Times New Roman"/>
                <w:kern w:val="20"/>
                <w:lang w:eastAsia="cs-CZ"/>
              </w:rPr>
              <w:t>Peněžní prostředky</w:t>
            </w:r>
          </w:p>
        </w:tc>
        <w:tc>
          <w:tcPr>
            <w:tcW w:w="1701" w:type="dxa"/>
          </w:tcPr>
          <w:p w14:paraId="73B14110" w14:textId="77777777" w:rsidR="00067B1C" w:rsidRPr="0041298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28 453</w:t>
            </w:r>
          </w:p>
        </w:tc>
        <w:tc>
          <w:tcPr>
            <w:tcW w:w="1701" w:type="dxa"/>
          </w:tcPr>
          <w:p w14:paraId="721A0470" w14:textId="77777777" w:rsidR="00067B1C" w:rsidRPr="0041298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2</w:t>
            </w:r>
            <w:r>
              <w:t>4</w:t>
            </w:r>
            <w:r w:rsidRPr="0041298A">
              <w:t> </w:t>
            </w:r>
            <w:r>
              <w:t>265</w:t>
            </w:r>
          </w:p>
        </w:tc>
        <w:tc>
          <w:tcPr>
            <w:tcW w:w="1701" w:type="dxa"/>
          </w:tcPr>
          <w:p w14:paraId="6B291FD1" w14:textId="77777777" w:rsidR="00067B1C" w:rsidRPr="001C0A7E" w:rsidRDefault="001C0A7E" w:rsidP="004B2A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A7E">
              <w:t>12 033</w:t>
            </w:r>
          </w:p>
        </w:tc>
      </w:tr>
      <w:tr w:rsidR="00666E83" w:rsidRPr="00666E83" w14:paraId="3A5DF8BB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2A901242" w14:textId="77777777" w:rsidR="00067B1C" w:rsidRPr="0063239F" w:rsidRDefault="00067B1C" w:rsidP="00FE062D">
            <w:r w:rsidRPr="0063239F">
              <w:rPr>
                <w:rFonts w:eastAsia="Times New Roman"/>
                <w:kern w:val="20"/>
                <w:lang w:eastAsia="cs-CZ"/>
              </w:rPr>
              <w:t>Časové rozlišení aktiv</w:t>
            </w:r>
          </w:p>
        </w:tc>
        <w:tc>
          <w:tcPr>
            <w:tcW w:w="1701" w:type="dxa"/>
          </w:tcPr>
          <w:p w14:paraId="74194723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790</w:t>
            </w:r>
          </w:p>
        </w:tc>
        <w:tc>
          <w:tcPr>
            <w:tcW w:w="1701" w:type="dxa"/>
          </w:tcPr>
          <w:p w14:paraId="08CB0FC4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1701" w:type="dxa"/>
          </w:tcPr>
          <w:p w14:paraId="71288407" w14:textId="77777777" w:rsidR="00067B1C" w:rsidRPr="00666E83" w:rsidRDefault="00666E83" w:rsidP="00FE062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6E83">
              <w:t>388</w:t>
            </w:r>
          </w:p>
        </w:tc>
      </w:tr>
      <w:tr w:rsidR="00666E83" w:rsidRPr="00666E83" w14:paraId="2D02F2D7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421BDEE6" w14:textId="77777777" w:rsidR="00067B1C" w:rsidRPr="0063239F" w:rsidRDefault="00067B1C" w:rsidP="00FE062D">
            <w:pPr>
              <w:rPr>
                <w:rFonts w:ascii="Calibri" w:eastAsia="Times New Roman" w:hAnsi="Calibri"/>
                <w:bCs w:val="0"/>
                <w:kern w:val="20"/>
                <w:lang w:eastAsia="cs-CZ"/>
              </w:rPr>
            </w:pPr>
            <w:r w:rsidRPr="0063239F">
              <w:rPr>
                <w:rFonts w:eastAsia="Times New Roman"/>
                <w:kern w:val="20"/>
                <w:lang w:eastAsia="cs-CZ"/>
              </w:rPr>
              <w:t>Pasiva celkem</w:t>
            </w:r>
          </w:p>
        </w:tc>
        <w:tc>
          <w:tcPr>
            <w:tcW w:w="1701" w:type="dxa"/>
          </w:tcPr>
          <w:p w14:paraId="4242E38A" w14:textId="77777777" w:rsidR="00067B1C" w:rsidRPr="0041298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154 072</w:t>
            </w:r>
          </w:p>
        </w:tc>
        <w:tc>
          <w:tcPr>
            <w:tcW w:w="1701" w:type="dxa"/>
          </w:tcPr>
          <w:p w14:paraId="1B1FF1A3" w14:textId="77777777" w:rsidR="00067B1C" w:rsidRPr="0041298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1</w:t>
            </w:r>
            <w:r>
              <w:t>60</w:t>
            </w:r>
            <w:r w:rsidRPr="0041298A">
              <w:t> </w:t>
            </w:r>
            <w:r>
              <w:t>725</w:t>
            </w:r>
          </w:p>
        </w:tc>
        <w:tc>
          <w:tcPr>
            <w:tcW w:w="1701" w:type="dxa"/>
          </w:tcPr>
          <w:p w14:paraId="3385BF26" w14:textId="77777777" w:rsidR="00067B1C" w:rsidRPr="00666E83" w:rsidRDefault="00666E83" w:rsidP="004B2A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E83">
              <w:t>144 540</w:t>
            </w:r>
          </w:p>
        </w:tc>
      </w:tr>
      <w:tr w:rsidR="00666E83" w:rsidRPr="00666E83" w14:paraId="1FD8B286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652AFA5E" w14:textId="77777777" w:rsidR="00067B1C" w:rsidRPr="00C35350" w:rsidRDefault="00067B1C" w:rsidP="00FE062D">
            <w:pPr>
              <w:rPr>
                <w:rFonts w:ascii="Calibri" w:eastAsia="Times New Roman" w:hAnsi="Calibri"/>
                <w:bCs w:val="0"/>
                <w:kern w:val="20"/>
                <w:lang w:eastAsia="cs-CZ"/>
              </w:rPr>
            </w:pPr>
            <w:r w:rsidRPr="00C35350">
              <w:rPr>
                <w:rFonts w:eastAsia="Times New Roman"/>
                <w:kern w:val="20"/>
                <w:lang w:eastAsia="cs-CZ"/>
              </w:rPr>
              <w:t>Vlastní kapitál</w:t>
            </w:r>
          </w:p>
        </w:tc>
        <w:tc>
          <w:tcPr>
            <w:tcW w:w="1701" w:type="dxa"/>
          </w:tcPr>
          <w:p w14:paraId="3CD3E74D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136 683</w:t>
            </w:r>
          </w:p>
        </w:tc>
        <w:tc>
          <w:tcPr>
            <w:tcW w:w="1701" w:type="dxa"/>
          </w:tcPr>
          <w:p w14:paraId="285D582E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13</w:t>
            </w:r>
            <w:r>
              <w:t>9</w:t>
            </w:r>
            <w:r w:rsidRPr="0041298A">
              <w:t> </w:t>
            </w:r>
            <w:r>
              <w:t>50</w:t>
            </w:r>
            <w:r w:rsidRPr="0041298A">
              <w:t>3</w:t>
            </w:r>
          </w:p>
        </w:tc>
        <w:tc>
          <w:tcPr>
            <w:tcW w:w="1701" w:type="dxa"/>
          </w:tcPr>
          <w:p w14:paraId="200CA312" w14:textId="77777777" w:rsidR="00067B1C" w:rsidRPr="00666E83" w:rsidRDefault="00666E83" w:rsidP="004B2A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6E83">
              <w:t>117 725</w:t>
            </w:r>
          </w:p>
        </w:tc>
      </w:tr>
      <w:tr w:rsidR="00067B1C" w14:paraId="53914401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57456F02" w14:textId="77777777" w:rsidR="00067B1C" w:rsidRPr="002131F1" w:rsidRDefault="00067B1C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2131F1">
              <w:rPr>
                <w:rFonts w:eastAsia="Times New Roman"/>
                <w:kern w:val="20"/>
                <w:lang w:eastAsia="cs-CZ"/>
              </w:rPr>
              <w:t>Základní kapitál</w:t>
            </w:r>
          </w:p>
        </w:tc>
        <w:tc>
          <w:tcPr>
            <w:tcW w:w="1701" w:type="dxa"/>
          </w:tcPr>
          <w:p w14:paraId="1DC07FA3" w14:textId="77777777" w:rsidR="00067B1C" w:rsidRPr="0041298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101 923</w:t>
            </w:r>
          </w:p>
        </w:tc>
        <w:tc>
          <w:tcPr>
            <w:tcW w:w="1701" w:type="dxa"/>
          </w:tcPr>
          <w:p w14:paraId="7CED56DE" w14:textId="77777777" w:rsidR="00067B1C" w:rsidRPr="0041298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101 </w:t>
            </w:r>
            <w:r>
              <w:t>315</w:t>
            </w:r>
          </w:p>
        </w:tc>
        <w:tc>
          <w:tcPr>
            <w:tcW w:w="1701" w:type="dxa"/>
          </w:tcPr>
          <w:p w14:paraId="382A8DDE" w14:textId="77777777" w:rsidR="00067B1C" w:rsidRPr="00666E83" w:rsidRDefault="00666E83" w:rsidP="004B2A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E83">
              <w:t>101 131</w:t>
            </w:r>
          </w:p>
        </w:tc>
      </w:tr>
      <w:tr w:rsidR="00067B1C" w14:paraId="2343CC0E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06EAC9B6" w14:textId="77777777" w:rsidR="00067B1C" w:rsidRPr="002131F1" w:rsidRDefault="00067B1C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2131F1">
              <w:rPr>
                <w:rFonts w:eastAsia="Times New Roman"/>
                <w:kern w:val="20"/>
                <w:lang w:eastAsia="cs-CZ"/>
              </w:rPr>
              <w:t>Ážio a fondy</w:t>
            </w:r>
          </w:p>
        </w:tc>
        <w:tc>
          <w:tcPr>
            <w:tcW w:w="1701" w:type="dxa"/>
          </w:tcPr>
          <w:p w14:paraId="7848FB71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36 026</w:t>
            </w:r>
          </w:p>
        </w:tc>
        <w:tc>
          <w:tcPr>
            <w:tcW w:w="1701" w:type="dxa"/>
          </w:tcPr>
          <w:p w14:paraId="22E32453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3</w:t>
            </w:r>
            <w:r>
              <w:t>3</w:t>
            </w:r>
            <w:r w:rsidRPr="0041298A">
              <w:t> </w:t>
            </w:r>
            <w:r>
              <w:t>752</w:t>
            </w:r>
          </w:p>
        </w:tc>
        <w:tc>
          <w:tcPr>
            <w:tcW w:w="1701" w:type="dxa"/>
          </w:tcPr>
          <w:p w14:paraId="7EF54ACE" w14:textId="77777777" w:rsidR="00067B1C" w:rsidRPr="00666E83" w:rsidRDefault="00666E83" w:rsidP="004B2A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6E83">
              <w:t>34 666</w:t>
            </w:r>
          </w:p>
        </w:tc>
      </w:tr>
      <w:tr w:rsidR="00067B1C" w14:paraId="002BF108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7AF7FB71" w14:textId="77777777" w:rsidR="00067B1C" w:rsidRPr="002131F1" w:rsidRDefault="00067B1C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2131F1">
              <w:rPr>
                <w:rFonts w:eastAsia="Times New Roman"/>
                <w:kern w:val="20"/>
                <w:lang w:eastAsia="cs-CZ"/>
              </w:rPr>
              <w:t>Výsledek hospodaření minulých let</w:t>
            </w:r>
          </w:p>
        </w:tc>
        <w:tc>
          <w:tcPr>
            <w:tcW w:w="1701" w:type="dxa"/>
          </w:tcPr>
          <w:p w14:paraId="16760D66" w14:textId="77777777" w:rsidR="00067B1C" w:rsidRPr="0041298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377</w:t>
            </w:r>
          </w:p>
        </w:tc>
        <w:tc>
          <w:tcPr>
            <w:tcW w:w="1701" w:type="dxa"/>
          </w:tcPr>
          <w:p w14:paraId="49ECB288" w14:textId="77777777" w:rsidR="00067B1C" w:rsidRPr="0041298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1701" w:type="dxa"/>
          </w:tcPr>
          <w:p w14:paraId="1889F941" w14:textId="77777777" w:rsidR="00067B1C" w:rsidRPr="00666E83" w:rsidRDefault="00666E83" w:rsidP="00FE06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E83">
              <w:t>2 851</w:t>
            </w:r>
          </w:p>
        </w:tc>
      </w:tr>
      <w:tr w:rsidR="00067B1C" w14:paraId="7CBC6FA4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30CA7F26" w14:textId="77777777" w:rsidR="00067B1C" w:rsidRPr="002131F1" w:rsidRDefault="00067B1C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2131F1">
              <w:rPr>
                <w:rFonts w:eastAsia="Times New Roman"/>
                <w:kern w:val="20"/>
                <w:lang w:eastAsia="cs-CZ"/>
              </w:rPr>
              <w:t>Výsledek hospodaření za běžný</w:t>
            </w:r>
          </w:p>
        </w:tc>
        <w:tc>
          <w:tcPr>
            <w:tcW w:w="1701" w:type="dxa"/>
          </w:tcPr>
          <w:p w14:paraId="637C93F8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- 1 643</w:t>
            </w:r>
          </w:p>
        </w:tc>
        <w:tc>
          <w:tcPr>
            <w:tcW w:w="1701" w:type="dxa"/>
          </w:tcPr>
          <w:p w14:paraId="3D457E0A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 </w:t>
            </w:r>
            <w:r>
              <w:t>3</w:t>
            </w:r>
            <w:r w:rsidRPr="0041298A">
              <w:t> </w:t>
            </w:r>
            <w:r>
              <w:t>900</w:t>
            </w:r>
          </w:p>
        </w:tc>
        <w:tc>
          <w:tcPr>
            <w:tcW w:w="1701" w:type="dxa"/>
          </w:tcPr>
          <w:p w14:paraId="2E012385" w14:textId="77777777" w:rsidR="00067B1C" w:rsidRPr="00666E83" w:rsidRDefault="00666E83" w:rsidP="004B2A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6E83">
              <w:t>-20 923</w:t>
            </w:r>
          </w:p>
        </w:tc>
      </w:tr>
      <w:tr w:rsidR="00067B1C" w14:paraId="53110359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6413EDF9" w14:textId="77777777" w:rsidR="00067B1C" w:rsidRPr="002131F1" w:rsidRDefault="00067B1C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2131F1">
              <w:rPr>
                <w:rFonts w:eastAsia="Times New Roman"/>
                <w:kern w:val="20"/>
                <w:lang w:eastAsia="cs-CZ"/>
              </w:rPr>
              <w:t>Cizí zdroje</w:t>
            </w:r>
          </w:p>
        </w:tc>
        <w:tc>
          <w:tcPr>
            <w:tcW w:w="1701" w:type="dxa"/>
          </w:tcPr>
          <w:p w14:paraId="6B9D4BFC" w14:textId="77777777" w:rsidR="00067B1C" w:rsidRPr="0041298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17 389</w:t>
            </w:r>
          </w:p>
        </w:tc>
        <w:tc>
          <w:tcPr>
            <w:tcW w:w="1701" w:type="dxa"/>
          </w:tcPr>
          <w:p w14:paraId="0C78FD48" w14:textId="77777777" w:rsidR="00067B1C" w:rsidRPr="0041298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  <w:r w:rsidRPr="0041298A">
              <w:t> </w:t>
            </w:r>
            <w:r>
              <w:t>220</w:t>
            </w:r>
          </w:p>
        </w:tc>
        <w:tc>
          <w:tcPr>
            <w:tcW w:w="1701" w:type="dxa"/>
          </w:tcPr>
          <w:p w14:paraId="18997B04" w14:textId="77777777" w:rsidR="00067B1C" w:rsidRPr="00666E83" w:rsidRDefault="00666E83" w:rsidP="004B2A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E83">
              <w:t>26 815</w:t>
            </w:r>
          </w:p>
        </w:tc>
      </w:tr>
      <w:tr w:rsidR="00067B1C" w14:paraId="6667D814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4EBA3E54" w14:textId="77777777" w:rsidR="00067B1C" w:rsidRPr="002131F1" w:rsidRDefault="00067B1C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2131F1">
              <w:rPr>
                <w:rFonts w:eastAsia="Times New Roman"/>
                <w:kern w:val="20"/>
                <w:lang w:eastAsia="cs-CZ"/>
              </w:rPr>
              <w:t>Ostatní rezervy</w:t>
            </w:r>
          </w:p>
        </w:tc>
        <w:tc>
          <w:tcPr>
            <w:tcW w:w="1701" w:type="dxa"/>
          </w:tcPr>
          <w:p w14:paraId="59F603EA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800</w:t>
            </w:r>
          </w:p>
        </w:tc>
        <w:tc>
          <w:tcPr>
            <w:tcW w:w="1701" w:type="dxa"/>
          </w:tcPr>
          <w:p w14:paraId="4E011B52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7 </w:t>
            </w:r>
            <w:r w:rsidRPr="0041298A">
              <w:t>800</w:t>
            </w:r>
          </w:p>
        </w:tc>
        <w:tc>
          <w:tcPr>
            <w:tcW w:w="1701" w:type="dxa"/>
          </w:tcPr>
          <w:p w14:paraId="1B820789" w14:textId="77777777" w:rsidR="00067B1C" w:rsidRPr="00666E83" w:rsidRDefault="00666E83" w:rsidP="00FE062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6E83">
              <w:t>11 800</w:t>
            </w:r>
          </w:p>
        </w:tc>
      </w:tr>
      <w:tr w:rsidR="00067B1C" w14:paraId="6DE8F50F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38D951C8" w14:textId="77777777" w:rsidR="00067B1C" w:rsidRPr="002131F1" w:rsidRDefault="00067B1C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2131F1">
              <w:rPr>
                <w:rFonts w:eastAsia="Times New Roman"/>
                <w:kern w:val="20"/>
                <w:lang w:eastAsia="cs-CZ"/>
              </w:rPr>
              <w:t>Dlouhodobé závazky</w:t>
            </w:r>
          </w:p>
        </w:tc>
        <w:tc>
          <w:tcPr>
            <w:tcW w:w="1701" w:type="dxa"/>
          </w:tcPr>
          <w:p w14:paraId="04232952" w14:textId="77777777" w:rsidR="00067B1C" w:rsidRPr="0041298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2 089</w:t>
            </w:r>
          </w:p>
        </w:tc>
        <w:tc>
          <w:tcPr>
            <w:tcW w:w="1701" w:type="dxa"/>
          </w:tcPr>
          <w:p w14:paraId="53F4E317" w14:textId="77777777" w:rsidR="00067B1C" w:rsidRPr="0041298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931</w:t>
            </w:r>
          </w:p>
        </w:tc>
        <w:tc>
          <w:tcPr>
            <w:tcW w:w="1701" w:type="dxa"/>
          </w:tcPr>
          <w:p w14:paraId="74B8BAF3" w14:textId="77777777" w:rsidR="00067B1C" w:rsidRPr="00666E83" w:rsidRDefault="00666E83" w:rsidP="00FE06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E83">
              <w:t>1 715</w:t>
            </w:r>
          </w:p>
        </w:tc>
      </w:tr>
      <w:tr w:rsidR="00067B1C" w14:paraId="11D27758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1D0E3929" w14:textId="77777777" w:rsidR="00067B1C" w:rsidRPr="002131F1" w:rsidRDefault="00067B1C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2131F1">
              <w:rPr>
                <w:rFonts w:eastAsia="Times New Roman"/>
                <w:kern w:val="20"/>
                <w:lang w:eastAsia="cs-CZ"/>
              </w:rPr>
              <w:t>Krátkodobé závazky</w:t>
            </w:r>
          </w:p>
        </w:tc>
        <w:tc>
          <w:tcPr>
            <w:tcW w:w="1701" w:type="dxa"/>
          </w:tcPr>
          <w:p w14:paraId="45B3A559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14 500</w:t>
            </w:r>
          </w:p>
        </w:tc>
        <w:tc>
          <w:tcPr>
            <w:tcW w:w="1701" w:type="dxa"/>
          </w:tcPr>
          <w:p w14:paraId="17DB1DCD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1</w:t>
            </w:r>
            <w:r>
              <w:t>2</w:t>
            </w:r>
            <w:r w:rsidRPr="0041298A">
              <w:t> </w:t>
            </w:r>
            <w:r>
              <w:t>489</w:t>
            </w:r>
          </w:p>
        </w:tc>
        <w:tc>
          <w:tcPr>
            <w:tcW w:w="1701" w:type="dxa"/>
          </w:tcPr>
          <w:p w14:paraId="4C130C7A" w14:textId="77777777" w:rsidR="00067B1C" w:rsidRPr="00666E83" w:rsidRDefault="00666E83" w:rsidP="004B2A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6E83">
              <w:t>13 300</w:t>
            </w:r>
          </w:p>
        </w:tc>
      </w:tr>
      <w:tr w:rsidR="00067B1C" w14:paraId="5E67F458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52392856" w14:textId="77777777" w:rsidR="00067B1C" w:rsidRPr="002131F1" w:rsidRDefault="00067B1C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2131F1">
              <w:rPr>
                <w:rFonts w:eastAsia="Times New Roman"/>
                <w:kern w:val="20"/>
                <w:lang w:eastAsia="cs-CZ"/>
              </w:rPr>
              <w:t>Bankovní úvěry</w:t>
            </w:r>
          </w:p>
        </w:tc>
        <w:tc>
          <w:tcPr>
            <w:tcW w:w="1701" w:type="dxa"/>
          </w:tcPr>
          <w:p w14:paraId="75CD3C03" w14:textId="77777777" w:rsidR="00067B1C" w:rsidRPr="0041298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0</w:t>
            </w:r>
          </w:p>
        </w:tc>
        <w:tc>
          <w:tcPr>
            <w:tcW w:w="1701" w:type="dxa"/>
          </w:tcPr>
          <w:p w14:paraId="5D8437F3" w14:textId="77777777" w:rsidR="00067B1C" w:rsidRPr="0041298A" w:rsidRDefault="00067B1C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0</w:t>
            </w:r>
          </w:p>
        </w:tc>
        <w:tc>
          <w:tcPr>
            <w:tcW w:w="1701" w:type="dxa"/>
          </w:tcPr>
          <w:p w14:paraId="34633EAB" w14:textId="77777777" w:rsidR="00067B1C" w:rsidRPr="00666E83" w:rsidRDefault="00067B1C" w:rsidP="00FE06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E83">
              <w:t>0</w:t>
            </w:r>
          </w:p>
        </w:tc>
      </w:tr>
      <w:tr w:rsidR="00067B1C" w14:paraId="3CE61140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5515C615" w14:textId="77777777" w:rsidR="00067B1C" w:rsidRPr="002131F1" w:rsidRDefault="00067B1C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2131F1">
              <w:rPr>
                <w:rFonts w:eastAsia="Times New Roman"/>
                <w:kern w:val="20"/>
                <w:lang w:eastAsia="cs-CZ"/>
              </w:rPr>
              <w:t>Časové rozlišení pasiv</w:t>
            </w:r>
          </w:p>
        </w:tc>
        <w:tc>
          <w:tcPr>
            <w:tcW w:w="1701" w:type="dxa"/>
          </w:tcPr>
          <w:p w14:paraId="3F5D05F8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0</w:t>
            </w:r>
          </w:p>
        </w:tc>
        <w:tc>
          <w:tcPr>
            <w:tcW w:w="1701" w:type="dxa"/>
          </w:tcPr>
          <w:p w14:paraId="6EBADBF9" w14:textId="77777777" w:rsidR="00067B1C" w:rsidRPr="0041298A" w:rsidRDefault="00067B1C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701" w:type="dxa"/>
          </w:tcPr>
          <w:p w14:paraId="1195DA58" w14:textId="77777777" w:rsidR="00067B1C" w:rsidRPr="00666E83" w:rsidRDefault="00666E83" w:rsidP="00FE062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6E83">
              <w:t>0</w:t>
            </w:r>
          </w:p>
        </w:tc>
      </w:tr>
    </w:tbl>
    <w:p w14:paraId="61308F54" w14:textId="77777777" w:rsidR="00AC2A88" w:rsidRDefault="00AC2A88" w:rsidP="00AC2A88">
      <w:pPr>
        <w:rPr>
          <w:color w:val="4F81BD" w:themeColor="accent1"/>
        </w:rPr>
      </w:pPr>
      <w:r>
        <w:br w:type="page"/>
      </w:r>
    </w:p>
    <w:p w14:paraId="1EF76382" w14:textId="77777777" w:rsidR="00AC2A88" w:rsidRPr="00F86634" w:rsidRDefault="00AC2A88" w:rsidP="000B1DA4">
      <w:pPr>
        <w:rPr>
          <w:color w:val="365F91" w:themeColor="accent1" w:themeShade="BF"/>
          <w:sz w:val="52"/>
          <w:szCs w:val="52"/>
        </w:rPr>
      </w:pPr>
      <w:r w:rsidRPr="00F86634">
        <w:rPr>
          <w:color w:val="365F91" w:themeColor="accent1" w:themeShade="BF"/>
          <w:sz w:val="52"/>
          <w:szCs w:val="52"/>
        </w:rPr>
        <w:lastRenderedPageBreak/>
        <w:t>FINANČNÍ VÝKAZ</w:t>
      </w:r>
      <w:r w:rsidR="000B1DA4" w:rsidRPr="00F86634">
        <w:rPr>
          <w:color w:val="365F91" w:themeColor="accent1" w:themeShade="BF"/>
          <w:sz w:val="52"/>
          <w:szCs w:val="52"/>
        </w:rPr>
        <w:t>Y</w:t>
      </w:r>
    </w:p>
    <w:p w14:paraId="13B12B7A" w14:textId="77777777" w:rsidR="000B1DA4" w:rsidRPr="00344324" w:rsidRDefault="000B1DA4" w:rsidP="000B1DA4">
      <w:pPr>
        <w:pStyle w:val="Titulek"/>
        <w:keepNext/>
        <w:rPr>
          <w:color w:val="002060"/>
          <w:sz w:val="24"/>
          <w:szCs w:val="24"/>
        </w:rPr>
      </w:pPr>
      <w:r w:rsidRPr="00344324">
        <w:rPr>
          <w:color w:val="002060"/>
          <w:sz w:val="24"/>
          <w:szCs w:val="24"/>
        </w:rPr>
        <w:t>VÝKAZ ZISKŮ A ZTRÁT</w:t>
      </w:r>
    </w:p>
    <w:tbl>
      <w:tblPr>
        <w:tblStyle w:val="Svtlmkazvraznn1"/>
        <w:tblW w:w="8844" w:type="dxa"/>
        <w:tblLook w:val="04A0" w:firstRow="1" w:lastRow="0" w:firstColumn="1" w:lastColumn="0" w:noHBand="0" w:noVBand="1"/>
      </w:tblPr>
      <w:tblGrid>
        <w:gridCol w:w="4932"/>
        <w:gridCol w:w="1304"/>
        <w:gridCol w:w="1304"/>
        <w:gridCol w:w="1304"/>
      </w:tblGrid>
      <w:tr w:rsidR="00C82444" w:rsidRPr="00177CD3" w14:paraId="4B262C71" w14:textId="77777777" w:rsidTr="00E33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  <w:vMerge w:val="restart"/>
          </w:tcPr>
          <w:p w14:paraId="0EDD921C" w14:textId="77777777" w:rsidR="00C82444" w:rsidRPr="00C0252A" w:rsidRDefault="00C82444" w:rsidP="00FE062D">
            <w:pPr>
              <w:ind w:left="-227" w:firstLine="227"/>
            </w:pPr>
            <w:r w:rsidRPr="00C0252A">
              <w:t>Český porcelán, a. s.</w:t>
            </w:r>
          </w:p>
        </w:tc>
        <w:tc>
          <w:tcPr>
            <w:tcW w:w="1304" w:type="dxa"/>
          </w:tcPr>
          <w:p w14:paraId="653AE4C8" w14:textId="77777777" w:rsidR="00C82444" w:rsidRPr="00C0252A" w:rsidRDefault="00C82444" w:rsidP="00222E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252A">
              <w:t>2017</w:t>
            </w:r>
          </w:p>
        </w:tc>
        <w:tc>
          <w:tcPr>
            <w:tcW w:w="1304" w:type="dxa"/>
          </w:tcPr>
          <w:p w14:paraId="1F67B7BB" w14:textId="77777777" w:rsidR="00C82444" w:rsidRPr="00C0252A" w:rsidRDefault="00C82444" w:rsidP="00222E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252A">
              <w:t>2018</w:t>
            </w:r>
          </w:p>
        </w:tc>
        <w:tc>
          <w:tcPr>
            <w:tcW w:w="1304" w:type="dxa"/>
          </w:tcPr>
          <w:p w14:paraId="69004A10" w14:textId="77777777" w:rsidR="00C82444" w:rsidRPr="00C0252A" w:rsidRDefault="00C82444" w:rsidP="00C8244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252A">
              <w:t>2019</w:t>
            </w:r>
          </w:p>
        </w:tc>
      </w:tr>
      <w:tr w:rsidR="00C82444" w14:paraId="70676323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  <w:vMerge/>
          </w:tcPr>
          <w:p w14:paraId="1283C2B8" w14:textId="77777777" w:rsidR="00C82444" w:rsidRPr="00C0252A" w:rsidRDefault="00C82444" w:rsidP="00FE062D"/>
        </w:tc>
        <w:tc>
          <w:tcPr>
            <w:tcW w:w="1304" w:type="dxa"/>
          </w:tcPr>
          <w:p w14:paraId="63D1D440" w14:textId="77777777" w:rsidR="00C82444" w:rsidRPr="00C0252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252A">
              <w:rPr>
                <w:b/>
              </w:rPr>
              <w:t>tis. Kč</w:t>
            </w:r>
          </w:p>
        </w:tc>
        <w:tc>
          <w:tcPr>
            <w:tcW w:w="1304" w:type="dxa"/>
          </w:tcPr>
          <w:p w14:paraId="03C87910" w14:textId="77777777" w:rsidR="00C82444" w:rsidRPr="00C0252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252A">
              <w:rPr>
                <w:b/>
              </w:rPr>
              <w:t>tis. Kč</w:t>
            </w:r>
          </w:p>
        </w:tc>
        <w:tc>
          <w:tcPr>
            <w:tcW w:w="1304" w:type="dxa"/>
          </w:tcPr>
          <w:p w14:paraId="3CD91E2C" w14:textId="77777777" w:rsidR="00C82444" w:rsidRPr="00C0252A" w:rsidRDefault="00C82444" w:rsidP="00FE06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252A">
              <w:rPr>
                <w:b/>
              </w:rPr>
              <w:t>tis. Kč</w:t>
            </w:r>
          </w:p>
        </w:tc>
      </w:tr>
      <w:tr w:rsidR="00C82444" w:rsidRPr="0063239F" w14:paraId="4D8EFE7F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495317CC" w14:textId="77777777" w:rsidR="00C82444" w:rsidRPr="002131F1" w:rsidRDefault="00C82444" w:rsidP="00FE062D">
            <w:pPr>
              <w:rPr>
                <w:b w:val="0"/>
              </w:rPr>
            </w:pPr>
            <w:r w:rsidRPr="002131F1">
              <w:rPr>
                <w:rFonts w:ascii="Calibri" w:eastAsia="Times New Roman" w:hAnsi="Calibri"/>
                <w:b w:val="0"/>
                <w:bCs w:val="0"/>
                <w:kern w:val="20"/>
                <w:lang w:eastAsia="cs-CZ"/>
              </w:rPr>
              <w:t>Tržby z prodeje výrobků a služeb</w:t>
            </w:r>
          </w:p>
        </w:tc>
        <w:tc>
          <w:tcPr>
            <w:tcW w:w="1304" w:type="dxa"/>
          </w:tcPr>
          <w:p w14:paraId="13C4BE1C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145 508</w:t>
            </w:r>
          </w:p>
        </w:tc>
        <w:tc>
          <w:tcPr>
            <w:tcW w:w="1304" w:type="dxa"/>
          </w:tcPr>
          <w:p w14:paraId="7DBDF935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1</w:t>
            </w:r>
            <w:r>
              <w:rPr>
                <w:b/>
              </w:rPr>
              <w:t>28</w:t>
            </w:r>
            <w:r w:rsidRPr="0041298A">
              <w:rPr>
                <w:b/>
              </w:rPr>
              <w:t> </w:t>
            </w:r>
            <w:r>
              <w:rPr>
                <w:b/>
              </w:rPr>
              <w:t>977</w:t>
            </w:r>
          </w:p>
        </w:tc>
        <w:tc>
          <w:tcPr>
            <w:tcW w:w="1304" w:type="dxa"/>
          </w:tcPr>
          <w:p w14:paraId="7C0E5991" w14:textId="77777777" w:rsidR="00C82444" w:rsidRPr="0041298A" w:rsidRDefault="00C82444" w:rsidP="004B2A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122 563</w:t>
            </w:r>
          </w:p>
        </w:tc>
      </w:tr>
      <w:tr w:rsidR="00C82444" w:rsidRPr="0063239F" w14:paraId="13CB91AE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01C61A7E" w14:textId="77777777" w:rsidR="00C82444" w:rsidRPr="002131F1" w:rsidRDefault="00C82444" w:rsidP="00FE062D">
            <w:pPr>
              <w:rPr>
                <w:b w:val="0"/>
              </w:rPr>
            </w:pPr>
            <w:r w:rsidRPr="002131F1">
              <w:rPr>
                <w:rFonts w:ascii="Calibri" w:eastAsia="Times New Roman" w:hAnsi="Calibri"/>
                <w:b w:val="0"/>
                <w:bCs w:val="0"/>
                <w:kern w:val="20"/>
                <w:lang w:eastAsia="cs-CZ"/>
              </w:rPr>
              <w:t>Tržby za prodej zboží</w:t>
            </w:r>
          </w:p>
        </w:tc>
        <w:tc>
          <w:tcPr>
            <w:tcW w:w="1304" w:type="dxa"/>
          </w:tcPr>
          <w:p w14:paraId="27F30AC6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12 588</w:t>
            </w:r>
          </w:p>
        </w:tc>
        <w:tc>
          <w:tcPr>
            <w:tcW w:w="1304" w:type="dxa"/>
          </w:tcPr>
          <w:p w14:paraId="31F10DD9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12 </w:t>
            </w:r>
            <w:r>
              <w:rPr>
                <w:b/>
              </w:rPr>
              <w:t>019</w:t>
            </w:r>
          </w:p>
        </w:tc>
        <w:tc>
          <w:tcPr>
            <w:tcW w:w="1304" w:type="dxa"/>
          </w:tcPr>
          <w:p w14:paraId="07AD05FE" w14:textId="77777777" w:rsidR="00C82444" w:rsidRPr="0041298A" w:rsidRDefault="00C82444" w:rsidP="004B2A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12 756</w:t>
            </w:r>
          </w:p>
        </w:tc>
      </w:tr>
      <w:tr w:rsidR="00C82444" w:rsidRPr="0063239F" w14:paraId="7430F396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03A080BA" w14:textId="77777777" w:rsidR="00C82444" w:rsidRPr="002131F1" w:rsidRDefault="00C82444" w:rsidP="00FE062D">
            <w:pPr>
              <w:rPr>
                <w:b w:val="0"/>
              </w:rPr>
            </w:pPr>
            <w:r w:rsidRPr="002131F1">
              <w:rPr>
                <w:rFonts w:ascii="Calibri" w:eastAsia="Times New Roman" w:hAnsi="Calibri"/>
                <w:b w:val="0"/>
                <w:bCs w:val="0"/>
                <w:kern w:val="20"/>
                <w:lang w:eastAsia="cs-CZ"/>
              </w:rPr>
              <w:t>Výkonová spotřeba</w:t>
            </w:r>
          </w:p>
        </w:tc>
        <w:tc>
          <w:tcPr>
            <w:tcW w:w="1304" w:type="dxa"/>
          </w:tcPr>
          <w:p w14:paraId="3F77221B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63 448</w:t>
            </w:r>
          </w:p>
        </w:tc>
        <w:tc>
          <w:tcPr>
            <w:tcW w:w="1304" w:type="dxa"/>
          </w:tcPr>
          <w:p w14:paraId="58644B09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6</w:t>
            </w:r>
            <w:r>
              <w:rPr>
                <w:b/>
              </w:rPr>
              <w:t>2</w:t>
            </w:r>
            <w:r w:rsidRPr="0041298A">
              <w:rPr>
                <w:b/>
              </w:rPr>
              <w:t> 4</w:t>
            </w:r>
            <w:r>
              <w:rPr>
                <w:b/>
              </w:rPr>
              <w:t>15</w:t>
            </w:r>
          </w:p>
        </w:tc>
        <w:tc>
          <w:tcPr>
            <w:tcW w:w="1304" w:type="dxa"/>
          </w:tcPr>
          <w:p w14:paraId="1A9F8152" w14:textId="77777777" w:rsidR="00C82444" w:rsidRPr="0041298A" w:rsidRDefault="00C82444" w:rsidP="004B2A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63 279</w:t>
            </w:r>
          </w:p>
        </w:tc>
      </w:tr>
      <w:tr w:rsidR="00C82444" w:rsidRPr="0063239F" w14:paraId="041C4C57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14FDC8AA" w14:textId="77777777" w:rsidR="00C82444" w:rsidRPr="00F01CFA" w:rsidRDefault="00C82444" w:rsidP="00FE062D">
            <w:r w:rsidRPr="00F01CFA">
              <w:rPr>
                <w:rFonts w:ascii="Calibri" w:eastAsia="Cambria" w:hAnsi="Calibri" w:cs="Times New Roman"/>
                <w:kern w:val="20"/>
                <w:lang w:eastAsia="cs-CZ"/>
              </w:rPr>
              <w:t>Náklady vynaložené na prodané zboží</w:t>
            </w:r>
          </w:p>
        </w:tc>
        <w:tc>
          <w:tcPr>
            <w:tcW w:w="1304" w:type="dxa"/>
          </w:tcPr>
          <w:p w14:paraId="6707EF4E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2 345</w:t>
            </w:r>
          </w:p>
        </w:tc>
        <w:tc>
          <w:tcPr>
            <w:tcW w:w="1304" w:type="dxa"/>
          </w:tcPr>
          <w:p w14:paraId="36748377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2 </w:t>
            </w:r>
            <w:r>
              <w:t>999</w:t>
            </w:r>
          </w:p>
        </w:tc>
        <w:tc>
          <w:tcPr>
            <w:tcW w:w="1304" w:type="dxa"/>
          </w:tcPr>
          <w:p w14:paraId="2EE436EF" w14:textId="77777777" w:rsidR="00C82444" w:rsidRPr="0041298A" w:rsidRDefault="00C82444" w:rsidP="004B2A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4 384</w:t>
            </w:r>
          </w:p>
        </w:tc>
      </w:tr>
      <w:tr w:rsidR="00C82444" w:rsidRPr="0063239F" w14:paraId="5A06E0CE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4CA94D18" w14:textId="77777777" w:rsidR="00C82444" w:rsidRPr="00F01CFA" w:rsidRDefault="00C82444" w:rsidP="00FE062D">
            <w:r w:rsidRPr="00F01CFA">
              <w:rPr>
                <w:rFonts w:ascii="Calibri" w:eastAsia="Cambria" w:hAnsi="Calibri" w:cs="Times New Roman"/>
                <w:kern w:val="20"/>
                <w:lang w:eastAsia="cs-CZ"/>
              </w:rPr>
              <w:t>Spotřeba materiálu a energie</w:t>
            </w:r>
          </w:p>
        </w:tc>
        <w:tc>
          <w:tcPr>
            <w:tcW w:w="1304" w:type="dxa"/>
          </w:tcPr>
          <w:p w14:paraId="15FF60FF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43 047</w:t>
            </w:r>
          </w:p>
        </w:tc>
        <w:tc>
          <w:tcPr>
            <w:tcW w:w="1304" w:type="dxa"/>
          </w:tcPr>
          <w:p w14:paraId="0138D0DC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4</w:t>
            </w:r>
            <w:r>
              <w:t>1</w:t>
            </w:r>
            <w:r w:rsidRPr="0041298A">
              <w:t> </w:t>
            </w:r>
            <w:r>
              <w:t>781</w:t>
            </w:r>
          </w:p>
        </w:tc>
        <w:tc>
          <w:tcPr>
            <w:tcW w:w="1304" w:type="dxa"/>
          </w:tcPr>
          <w:p w14:paraId="7BB14090" w14:textId="77777777" w:rsidR="00C82444" w:rsidRPr="0041298A" w:rsidRDefault="00C82444" w:rsidP="004B2A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43 531</w:t>
            </w:r>
          </w:p>
        </w:tc>
      </w:tr>
      <w:tr w:rsidR="00C82444" w:rsidRPr="0063239F" w14:paraId="145CE610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54EB1407" w14:textId="77777777" w:rsidR="00C82444" w:rsidRPr="00F01CFA" w:rsidRDefault="00C82444" w:rsidP="00FE062D">
            <w:r w:rsidRPr="00F01CFA">
              <w:rPr>
                <w:rFonts w:ascii="Calibri" w:eastAsia="Cambria" w:hAnsi="Calibri" w:cs="Times New Roman"/>
                <w:kern w:val="20"/>
                <w:lang w:eastAsia="cs-CZ"/>
              </w:rPr>
              <w:t>Služby</w:t>
            </w:r>
          </w:p>
        </w:tc>
        <w:tc>
          <w:tcPr>
            <w:tcW w:w="1304" w:type="dxa"/>
          </w:tcPr>
          <w:p w14:paraId="596C3E89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18 056</w:t>
            </w:r>
          </w:p>
        </w:tc>
        <w:tc>
          <w:tcPr>
            <w:tcW w:w="1304" w:type="dxa"/>
          </w:tcPr>
          <w:p w14:paraId="28A8007D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1</w:t>
            </w:r>
            <w:r>
              <w:t>7</w:t>
            </w:r>
            <w:r w:rsidRPr="0041298A">
              <w:t> </w:t>
            </w:r>
            <w:r>
              <w:t>635</w:t>
            </w:r>
          </w:p>
        </w:tc>
        <w:tc>
          <w:tcPr>
            <w:tcW w:w="1304" w:type="dxa"/>
          </w:tcPr>
          <w:p w14:paraId="50277268" w14:textId="77777777" w:rsidR="00C82444" w:rsidRPr="0041298A" w:rsidRDefault="00C82444" w:rsidP="004B2A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15 364</w:t>
            </w:r>
          </w:p>
        </w:tc>
      </w:tr>
      <w:tr w:rsidR="00C82444" w:rsidRPr="0063239F" w14:paraId="228393AD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4AF2A4F7" w14:textId="77777777" w:rsidR="00C82444" w:rsidRPr="00F01CFA" w:rsidRDefault="00C82444" w:rsidP="00FE062D">
            <w:r w:rsidRPr="00F01CFA"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Změna stavu zásob vlastní činnosti</w:t>
            </w:r>
          </w:p>
        </w:tc>
        <w:tc>
          <w:tcPr>
            <w:tcW w:w="1304" w:type="dxa"/>
          </w:tcPr>
          <w:p w14:paraId="59AF7790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- 9</w:t>
            </w:r>
          </w:p>
        </w:tc>
        <w:tc>
          <w:tcPr>
            <w:tcW w:w="1304" w:type="dxa"/>
          </w:tcPr>
          <w:p w14:paraId="3B8AB55E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- </w:t>
            </w:r>
            <w:r>
              <w:rPr>
                <w:b/>
              </w:rPr>
              <w:t>22 370</w:t>
            </w:r>
          </w:p>
        </w:tc>
        <w:tc>
          <w:tcPr>
            <w:tcW w:w="1304" w:type="dxa"/>
          </w:tcPr>
          <w:p w14:paraId="535C99C2" w14:textId="77777777" w:rsidR="00C82444" w:rsidRPr="0041298A" w:rsidRDefault="00C82444" w:rsidP="004B2A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-4 112</w:t>
            </w:r>
          </w:p>
        </w:tc>
      </w:tr>
      <w:tr w:rsidR="00C82444" w:rsidRPr="0063239F" w14:paraId="23FE3113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2CC5126A" w14:textId="77777777" w:rsidR="00C82444" w:rsidRPr="00F01CFA" w:rsidRDefault="00C82444" w:rsidP="00FE062D">
            <w:r w:rsidRPr="00F01CFA"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Aktivace</w:t>
            </w:r>
          </w:p>
        </w:tc>
        <w:tc>
          <w:tcPr>
            <w:tcW w:w="1304" w:type="dxa"/>
          </w:tcPr>
          <w:p w14:paraId="1F6039B0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 xml:space="preserve">- 1 </w:t>
            </w:r>
            <w:r>
              <w:rPr>
                <w:b/>
              </w:rPr>
              <w:t>967</w:t>
            </w:r>
          </w:p>
        </w:tc>
        <w:tc>
          <w:tcPr>
            <w:tcW w:w="1304" w:type="dxa"/>
          </w:tcPr>
          <w:p w14:paraId="4991CBDC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- </w:t>
            </w:r>
            <w:r>
              <w:rPr>
                <w:b/>
              </w:rPr>
              <w:t>3</w:t>
            </w:r>
            <w:r w:rsidRPr="0041298A">
              <w:rPr>
                <w:b/>
              </w:rPr>
              <w:t xml:space="preserve"> </w:t>
            </w:r>
            <w:r>
              <w:rPr>
                <w:b/>
              </w:rPr>
              <w:t>536</w:t>
            </w:r>
          </w:p>
        </w:tc>
        <w:tc>
          <w:tcPr>
            <w:tcW w:w="1304" w:type="dxa"/>
          </w:tcPr>
          <w:p w14:paraId="7946963A" w14:textId="77777777" w:rsidR="00C82444" w:rsidRPr="0041298A" w:rsidRDefault="00C82444" w:rsidP="004B2A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-5 260</w:t>
            </w:r>
          </w:p>
        </w:tc>
      </w:tr>
      <w:tr w:rsidR="00C82444" w:rsidRPr="0063239F" w14:paraId="12303DF0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69AD5F12" w14:textId="77777777" w:rsidR="00C82444" w:rsidRPr="00F01CFA" w:rsidRDefault="00C82444" w:rsidP="00FE062D">
            <w:r w:rsidRPr="00F01CFA"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Osobní náklady</w:t>
            </w:r>
          </w:p>
        </w:tc>
        <w:tc>
          <w:tcPr>
            <w:tcW w:w="1304" w:type="dxa"/>
          </w:tcPr>
          <w:p w14:paraId="3B252615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88 051</w:t>
            </w:r>
          </w:p>
        </w:tc>
        <w:tc>
          <w:tcPr>
            <w:tcW w:w="1304" w:type="dxa"/>
          </w:tcPr>
          <w:p w14:paraId="1B32C6BA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8</w:t>
            </w:r>
            <w:r>
              <w:rPr>
                <w:b/>
              </w:rPr>
              <w:t>5</w:t>
            </w:r>
            <w:r w:rsidRPr="0041298A">
              <w:rPr>
                <w:b/>
              </w:rPr>
              <w:t> </w:t>
            </w:r>
            <w:r>
              <w:rPr>
                <w:b/>
              </w:rPr>
              <w:t>883</w:t>
            </w:r>
          </w:p>
        </w:tc>
        <w:tc>
          <w:tcPr>
            <w:tcW w:w="1304" w:type="dxa"/>
          </w:tcPr>
          <w:p w14:paraId="05FE91E9" w14:textId="77777777" w:rsidR="00C82444" w:rsidRPr="0041298A" w:rsidRDefault="00944CD0" w:rsidP="004B2A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87 057</w:t>
            </w:r>
          </w:p>
        </w:tc>
      </w:tr>
      <w:tr w:rsidR="00C82444" w:rsidRPr="0063239F" w14:paraId="5300452B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5FC4CCB1" w14:textId="77777777" w:rsidR="00C82444" w:rsidRPr="000C43EC" w:rsidRDefault="00C82444" w:rsidP="00FE062D">
            <w:r w:rsidRPr="000C43EC">
              <w:rPr>
                <w:rFonts w:ascii="Calibri" w:eastAsia="Cambria" w:hAnsi="Calibri" w:cs="Times New Roman"/>
                <w:kern w:val="20"/>
                <w:lang w:eastAsia="cs-CZ"/>
              </w:rPr>
              <w:t>Mzdové náklady</w:t>
            </w:r>
          </w:p>
        </w:tc>
        <w:tc>
          <w:tcPr>
            <w:tcW w:w="1304" w:type="dxa"/>
          </w:tcPr>
          <w:p w14:paraId="1BED9E76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65 966</w:t>
            </w:r>
          </w:p>
        </w:tc>
        <w:tc>
          <w:tcPr>
            <w:tcW w:w="1304" w:type="dxa"/>
          </w:tcPr>
          <w:p w14:paraId="05E4C786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6</w:t>
            </w:r>
            <w:r>
              <w:t>4</w:t>
            </w:r>
            <w:r w:rsidRPr="0041298A">
              <w:t> </w:t>
            </w:r>
            <w:r>
              <w:t>158</w:t>
            </w:r>
          </w:p>
        </w:tc>
        <w:tc>
          <w:tcPr>
            <w:tcW w:w="1304" w:type="dxa"/>
          </w:tcPr>
          <w:p w14:paraId="34C70B10" w14:textId="77777777" w:rsidR="00C82444" w:rsidRPr="0041298A" w:rsidRDefault="00944CD0" w:rsidP="004B2A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65 013</w:t>
            </w:r>
          </w:p>
        </w:tc>
      </w:tr>
      <w:tr w:rsidR="00C82444" w:rsidRPr="0063239F" w14:paraId="79DB5678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4C6A7317" w14:textId="77777777" w:rsidR="00C82444" w:rsidRPr="000C43EC" w:rsidRDefault="00C82444" w:rsidP="00FE062D">
            <w:r>
              <w:rPr>
                <w:rFonts w:ascii="Calibri" w:eastAsia="Cambria" w:hAnsi="Calibri" w:cs="Times New Roman"/>
                <w:kern w:val="20"/>
                <w:lang w:eastAsia="cs-CZ"/>
              </w:rPr>
              <w:t xml:space="preserve">Náklady na soc. a zdravotní pojištění a </w:t>
            </w:r>
            <w:r w:rsidRPr="000C43EC">
              <w:rPr>
                <w:rFonts w:ascii="Calibri" w:eastAsia="Cambria" w:hAnsi="Calibri" w:cs="Times New Roman"/>
                <w:kern w:val="20"/>
                <w:lang w:eastAsia="cs-CZ"/>
              </w:rPr>
              <w:t>ostatní</w:t>
            </w:r>
          </w:p>
        </w:tc>
        <w:tc>
          <w:tcPr>
            <w:tcW w:w="1304" w:type="dxa"/>
          </w:tcPr>
          <w:p w14:paraId="2ACE057C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22 085</w:t>
            </w:r>
          </w:p>
        </w:tc>
        <w:tc>
          <w:tcPr>
            <w:tcW w:w="1304" w:type="dxa"/>
          </w:tcPr>
          <w:p w14:paraId="3CB52E81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2</w:t>
            </w:r>
            <w:r>
              <w:t>1</w:t>
            </w:r>
            <w:r w:rsidRPr="0041298A">
              <w:t> </w:t>
            </w:r>
            <w:r>
              <w:t>72</w:t>
            </w:r>
            <w:r w:rsidRPr="0041298A">
              <w:t>5</w:t>
            </w:r>
          </w:p>
        </w:tc>
        <w:tc>
          <w:tcPr>
            <w:tcW w:w="1304" w:type="dxa"/>
          </w:tcPr>
          <w:p w14:paraId="0DC5D725" w14:textId="77777777" w:rsidR="00C82444" w:rsidRPr="0041298A" w:rsidRDefault="00944CD0" w:rsidP="00B266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22 044</w:t>
            </w:r>
          </w:p>
        </w:tc>
      </w:tr>
      <w:tr w:rsidR="00C82444" w:rsidRPr="0063239F" w14:paraId="78172BC1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6E9123FD" w14:textId="77777777" w:rsidR="00C82444" w:rsidRPr="000C43EC" w:rsidRDefault="00C82444" w:rsidP="00FE062D">
            <w:pPr>
              <w:rPr>
                <w:rFonts w:ascii="Calibri" w:eastAsia="Times New Roman" w:hAnsi="Calibri"/>
                <w:bCs w:val="0"/>
                <w:kern w:val="20"/>
                <w:lang w:eastAsia="cs-CZ"/>
              </w:rPr>
            </w:pPr>
            <w:r w:rsidRPr="000C43EC">
              <w:rPr>
                <w:rFonts w:ascii="Calibri" w:eastAsia="Cambria" w:hAnsi="Calibri" w:cs="Times New Roman"/>
                <w:kern w:val="20"/>
                <w:lang w:eastAsia="cs-CZ"/>
              </w:rPr>
              <w:t>Náklady na sociální a zdravotní</w:t>
            </w:r>
            <w:r>
              <w:rPr>
                <w:rFonts w:ascii="Calibri" w:eastAsia="Cambria" w:hAnsi="Calibri" w:cs="Times New Roman"/>
                <w:kern w:val="20"/>
                <w:lang w:eastAsia="cs-CZ"/>
              </w:rPr>
              <w:t xml:space="preserve"> </w:t>
            </w:r>
            <w:r w:rsidRPr="000C43EC">
              <w:rPr>
                <w:rFonts w:ascii="Calibri" w:eastAsia="Cambria" w:hAnsi="Calibri" w:cs="Times New Roman"/>
                <w:kern w:val="20"/>
                <w:lang w:eastAsia="cs-CZ"/>
              </w:rPr>
              <w:t>pojištění</w:t>
            </w:r>
          </w:p>
        </w:tc>
        <w:tc>
          <w:tcPr>
            <w:tcW w:w="1304" w:type="dxa"/>
          </w:tcPr>
          <w:p w14:paraId="511E9E6A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21 302</w:t>
            </w:r>
          </w:p>
        </w:tc>
        <w:tc>
          <w:tcPr>
            <w:tcW w:w="1304" w:type="dxa"/>
          </w:tcPr>
          <w:p w14:paraId="1EB02BF1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2</w:t>
            </w:r>
            <w:r>
              <w:t>0</w:t>
            </w:r>
            <w:r w:rsidRPr="0041298A">
              <w:t> </w:t>
            </w:r>
            <w:r>
              <w:t>970</w:t>
            </w:r>
          </w:p>
        </w:tc>
        <w:tc>
          <w:tcPr>
            <w:tcW w:w="1304" w:type="dxa"/>
          </w:tcPr>
          <w:p w14:paraId="67927173" w14:textId="77777777" w:rsidR="00C82444" w:rsidRPr="0041298A" w:rsidRDefault="00944CD0" w:rsidP="00B266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21 264</w:t>
            </w:r>
          </w:p>
        </w:tc>
      </w:tr>
      <w:tr w:rsidR="00C82444" w:rsidRPr="0063239F" w14:paraId="2E52EBDE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2BF6894B" w14:textId="77777777" w:rsidR="00C82444" w:rsidRPr="000C43EC" w:rsidRDefault="00C82444" w:rsidP="00FE062D">
            <w:pPr>
              <w:rPr>
                <w:rFonts w:ascii="Calibri" w:eastAsia="Times New Roman" w:hAnsi="Calibri"/>
                <w:bCs w:val="0"/>
                <w:kern w:val="20"/>
                <w:lang w:eastAsia="cs-CZ"/>
              </w:rPr>
            </w:pPr>
            <w:r w:rsidRPr="000C43EC">
              <w:rPr>
                <w:rFonts w:ascii="Calibri" w:eastAsia="Cambria" w:hAnsi="Calibri" w:cs="Times New Roman"/>
                <w:kern w:val="20"/>
                <w:lang w:eastAsia="cs-CZ"/>
              </w:rPr>
              <w:t>Ostatní náklady</w:t>
            </w:r>
          </w:p>
        </w:tc>
        <w:tc>
          <w:tcPr>
            <w:tcW w:w="1304" w:type="dxa"/>
          </w:tcPr>
          <w:p w14:paraId="2BFDD797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783</w:t>
            </w:r>
          </w:p>
        </w:tc>
        <w:tc>
          <w:tcPr>
            <w:tcW w:w="1304" w:type="dxa"/>
          </w:tcPr>
          <w:p w14:paraId="4444916C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7</w:t>
            </w:r>
            <w:r>
              <w:t>55</w:t>
            </w:r>
          </w:p>
        </w:tc>
        <w:tc>
          <w:tcPr>
            <w:tcW w:w="1304" w:type="dxa"/>
          </w:tcPr>
          <w:p w14:paraId="158BC6B6" w14:textId="77777777" w:rsidR="00C82444" w:rsidRPr="0041298A" w:rsidRDefault="00944CD0" w:rsidP="00B266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780</w:t>
            </w:r>
          </w:p>
        </w:tc>
      </w:tr>
      <w:tr w:rsidR="00C82444" w:rsidRPr="0063239F" w14:paraId="4244E264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3E2F5C85" w14:textId="77777777" w:rsidR="00C82444" w:rsidRPr="000C43EC" w:rsidRDefault="00C82444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0C43EC"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Úpravy hodnot v provozní oblasti</w:t>
            </w:r>
          </w:p>
        </w:tc>
        <w:tc>
          <w:tcPr>
            <w:tcW w:w="1304" w:type="dxa"/>
          </w:tcPr>
          <w:p w14:paraId="39FD2EFC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8 562</w:t>
            </w:r>
          </w:p>
        </w:tc>
        <w:tc>
          <w:tcPr>
            <w:tcW w:w="1304" w:type="dxa"/>
          </w:tcPr>
          <w:p w14:paraId="41005D20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  <w:r w:rsidRPr="0041298A">
              <w:rPr>
                <w:b/>
              </w:rPr>
              <w:t> </w:t>
            </w:r>
            <w:r>
              <w:rPr>
                <w:b/>
              </w:rPr>
              <w:t>974</w:t>
            </w:r>
          </w:p>
        </w:tc>
        <w:tc>
          <w:tcPr>
            <w:tcW w:w="1304" w:type="dxa"/>
          </w:tcPr>
          <w:p w14:paraId="46017DD3" w14:textId="77777777" w:rsidR="00C82444" w:rsidRPr="0041298A" w:rsidRDefault="00944CD0" w:rsidP="00B266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7 096</w:t>
            </w:r>
          </w:p>
        </w:tc>
      </w:tr>
      <w:tr w:rsidR="00C82444" w:rsidRPr="0063239F" w14:paraId="73286187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67ADEEE4" w14:textId="77777777" w:rsidR="00C82444" w:rsidRPr="000C43EC" w:rsidRDefault="00C82444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0C43EC">
              <w:rPr>
                <w:rFonts w:ascii="Calibri" w:eastAsia="Cambria" w:hAnsi="Calibri" w:cs="Times New Roman"/>
                <w:kern w:val="20"/>
                <w:lang w:eastAsia="cs-CZ"/>
              </w:rPr>
              <w:t>Úpravy hodnot DNM a DHM - trvalé</w:t>
            </w:r>
          </w:p>
        </w:tc>
        <w:tc>
          <w:tcPr>
            <w:tcW w:w="1304" w:type="dxa"/>
          </w:tcPr>
          <w:p w14:paraId="16B2957F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8 626</w:t>
            </w:r>
          </w:p>
        </w:tc>
        <w:tc>
          <w:tcPr>
            <w:tcW w:w="1304" w:type="dxa"/>
          </w:tcPr>
          <w:p w14:paraId="5C1DD57E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8 </w:t>
            </w:r>
            <w:r>
              <w:t>667</w:t>
            </w:r>
          </w:p>
        </w:tc>
        <w:tc>
          <w:tcPr>
            <w:tcW w:w="1304" w:type="dxa"/>
          </w:tcPr>
          <w:p w14:paraId="7F9430FD" w14:textId="77777777" w:rsidR="00C82444" w:rsidRPr="0041298A" w:rsidRDefault="00944CD0" w:rsidP="00B266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8 135</w:t>
            </w:r>
          </w:p>
        </w:tc>
      </w:tr>
      <w:tr w:rsidR="00C82444" w:rsidRPr="0063239F" w14:paraId="36FDD64B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6F326F8D" w14:textId="77777777" w:rsidR="00C82444" w:rsidRPr="000C43EC" w:rsidRDefault="00C82444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0C43EC">
              <w:rPr>
                <w:rFonts w:ascii="Calibri" w:eastAsia="Cambria" w:hAnsi="Calibri" w:cs="Times New Roman"/>
                <w:kern w:val="20"/>
                <w:lang w:eastAsia="cs-CZ"/>
              </w:rPr>
              <w:t>Úpravy hodnot zásob</w:t>
            </w:r>
          </w:p>
        </w:tc>
        <w:tc>
          <w:tcPr>
            <w:tcW w:w="1304" w:type="dxa"/>
          </w:tcPr>
          <w:p w14:paraId="7CEE69A2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39</w:t>
            </w:r>
          </w:p>
        </w:tc>
        <w:tc>
          <w:tcPr>
            <w:tcW w:w="1304" w:type="dxa"/>
          </w:tcPr>
          <w:p w14:paraId="61575DF7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253</w:t>
            </w:r>
          </w:p>
        </w:tc>
        <w:tc>
          <w:tcPr>
            <w:tcW w:w="1304" w:type="dxa"/>
          </w:tcPr>
          <w:p w14:paraId="6FBCBF25" w14:textId="77777777" w:rsidR="00C82444" w:rsidRPr="0041298A" w:rsidRDefault="00944CD0" w:rsidP="00FE06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C82444" w:rsidRPr="0063239F" w14:paraId="7E47CDE6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4312CBCB" w14:textId="77777777" w:rsidR="00C82444" w:rsidRPr="000C43EC" w:rsidRDefault="00C82444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0C43EC">
              <w:rPr>
                <w:rFonts w:ascii="Calibri" w:eastAsia="Cambria" w:hAnsi="Calibri" w:cs="Times New Roman"/>
                <w:kern w:val="20"/>
                <w:lang w:eastAsia="cs-CZ"/>
              </w:rPr>
              <w:t>Úpravy hodnot pohledávek</w:t>
            </w:r>
          </w:p>
        </w:tc>
        <w:tc>
          <w:tcPr>
            <w:tcW w:w="1304" w:type="dxa"/>
          </w:tcPr>
          <w:p w14:paraId="43210EB3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- 103</w:t>
            </w:r>
          </w:p>
        </w:tc>
        <w:tc>
          <w:tcPr>
            <w:tcW w:w="1304" w:type="dxa"/>
          </w:tcPr>
          <w:p w14:paraId="663DCEB4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- </w:t>
            </w:r>
            <w:r>
              <w:t>1 946</w:t>
            </w:r>
          </w:p>
        </w:tc>
        <w:tc>
          <w:tcPr>
            <w:tcW w:w="1304" w:type="dxa"/>
          </w:tcPr>
          <w:p w14:paraId="6C2FBBE2" w14:textId="77777777" w:rsidR="00C82444" w:rsidRPr="0041298A" w:rsidRDefault="00C82444" w:rsidP="00944CD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- </w:t>
            </w:r>
            <w:r w:rsidR="00944CD0">
              <w:t>1 039</w:t>
            </w:r>
          </w:p>
        </w:tc>
      </w:tr>
      <w:tr w:rsidR="00C82444" w:rsidRPr="0063239F" w14:paraId="26BD8D0A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23B2FA0D" w14:textId="77777777" w:rsidR="00C82444" w:rsidRPr="000C43EC" w:rsidRDefault="00C82444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0C43EC"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Ostatní provozní výnosy</w:t>
            </w:r>
          </w:p>
        </w:tc>
        <w:tc>
          <w:tcPr>
            <w:tcW w:w="1304" w:type="dxa"/>
          </w:tcPr>
          <w:p w14:paraId="242F8430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568</w:t>
            </w:r>
          </w:p>
        </w:tc>
        <w:tc>
          <w:tcPr>
            <w:tcW w:w="1304" w:type="dxa"/>
          </w:tcPr>
          <w:p w14:paraId="4DEEF982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3 960</w:t>
            </w:r>
          </w:p>
        </w:tc>
        <w:tc>
          <w:tcPr>
            <w:tcW w:w="1304" w:type="dxa"/>
          </w:tcPr>
          <w:p w14:paraId="63E6C26C" w14:textId="77777777" w:rsidR="00C82444" w:rsidRPr="0041298A" w:rsidRDefault="00944CD0" w:rsidP="00B266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762</w:t>
            </w:r>
          </w:p>
        </w:tc>
      </w:tr>
      <w:tr w:rsidR="00C82444" w:rsidRPr="0063239F" w14:paraId="6E1B0426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50D89060" w14:textId="77777777" w:rsidR="00C82444" w:rsidRPr="000C43EC" w:rsidRDefault="00C82444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0C43EC">
              <w:rPr>
                <w:rFonts w:ascii="Calibri" w:eastAsia="Cambria" w:hAnsi="Calibri" w:cs="Times New Roman"/>
                <w:kern w:val="20"/>
                <w:lang w:eastAsia="cs-CZ"/>
              </w:rPr>
              <w:t>Tržby z prodeje DHM</w:t>
            </w:r>
          </w:p>
        </w:tc>
        <w:tc>
          <w:tcPr>
            <w:tcW w:w="1304" w:type="dxa"/>
          </w:tcPr>
          <w:p w14:paraId="1F278141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32</w:t>
            </w:r>
          </w:p>
        </w:tc>
        <w:tc>
          <w:tcPr>
            <w:tcW w:w="1304" w:type="dxa"/>
          </w:tcPr>
          <w:p w14:paraId="49964DF0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3 277</w:t>
            </w:r>
          </w:p>
        </w:tc>
        <w:tc>
          <w:tcPr>
            <w:tcW w:w="1304" w:type="dxa"/>
          </w:tcPr>
          <w:p w14:paraId="2638DA4A" w14:textId="77777777" w:rsidR="00C82444" w:rsidRPr="0041298A" w:rsidRDefault="00944CD0" w:rsidP="00B266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</w:t>
            </w:r>
          </w:p>
        </w:tc>
      </w:tr>
      <w:tr w:rsidR="00C82444" w:rsidRPr="0063239F" w14:paraId="7056F4D9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1D7B19A5" w14:textId="77777777" w:rsidR="00C82444" w:rsidRPr="000C43EC" w:rsidRDefault="00C82444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0C43EC">
              <w:rPr>
                <w:rFonts w:ascii="Calibri" w:eastAsia="Cambria" w:hAnsi="Calibri" w:cs="Times New Roman"/>
                <w:kern w:val="20"/>
                <w:lang w:eastAsia="cs-CZ"/>
              </w:rPr>
              <w:t>Tržby z prodaného materiálu</w:t>
            </w:r>
          </w:p>
        </w:tc>
        <w:tc>
          <w:tcPr>
            <w:tcW w:w="1304" w:type="dxa"/>
          </w:tcPr>
          <w:p w14:paraId="1693A1E4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283</w:t>
            </w:r>
          </w:p>
        </w:tc>
        <w:tc>
          <w:tcPr>
            <w:tcW w:w="1304" w:type="dxa"/>
          </w:tcPr>
          <w:p w14:paraId="38B65E3A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1304" w:type="dxa"/>
          </w:tcPr>
          <w:p w14:paraId="4749ABF7" w14:textId="77777777" w:rsidR="00C82444" w:rsidRPr="0041298A" w:rsidRDefault="00944CD0" w:rsidP="00FE06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314</w:t>
            </w:r>
          </w:p>
        </w:tc>
      </w:tr>
      <w:tr w:rsidR="00C82444" w:rsidRPr="0063239F" w14:paraId="5EC26502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52FC2C08" w14:textId="77777777" w:rsidR="00C82444" w:rsidRPr="000C43EC" w:rsidRDefault="00C82444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0C43EC">
              <w:rPr>
                <w:rFonts w:ascii="Calibri" w:eastAsia="Cambria" w:hAnsi="Calibri" w:cs="Times New Roman"/>
                <w:kern w:val="20"/>
                <w:lang w:eastAsia="cs-CZ"/>
              </w:rPr>
              <w:t>Jiné provozní výnosy</w:t>
            </w:r>
          </w:p>
        </w:tc>
        <w:tc>
          <w:tcPr>
            <w:tcW w:w="1304" w:type="dxa"/>
          </w:tcPr>
          <w:p w14:paraId="2F320AD8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253</w:t>
            </w:r>
          </w:p>
        </w:tc>
        <w:tc>
          <w:tcPr>
            <w:tcW w:w="1304" w:type="dxa"/>
          </w:tcPr>
          <w:p w14:paraId="2DD6D570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92</w:t>
            </w:r>
          </w:p>
        </w:tc>
        <w:tc>
          <w:tcPr>
            <w:tcW w:w="1304" w:type="dxa"/>
          </w:tcPr>
          <w:p w14:paraId="25C702C7" w14:textId="77777777" w:rsidR="00C82444" w:rsidRPr="0041298A" w:rsidRDefault="00944CD0" w:rsidP="00FE062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411</w:t>
            </w:r>
          </w:p>
        </w:tc>
      </w:tr>
      <w:tr w:rsidR="00C82444" w:rsidRPr="0063239F" w14:paraId="29738EE3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62A9D9F6" w14:textId="77777777" w:rsidR="00C82444" w:rsidRPr="000C43EC" w:rsidRDefault="00C82444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0C43EC"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Ostatní provozní náklady</w:t>
            </w:r>
          </w:p>
        </w:tc>
        <w:tc>
          <w:tcPr>
            <w:tcW w:w="1304" w:type="dxa"/>
          </w:tcPr>
          <w:p w14:paraId="291BA336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2 086</w:t>
            </w:r>
          </w:p>
        </w:tc>
        <w:tc>
          <w:tcPr>
            <w:tcW w:w="1304" w:type="dxa"/>
          </w:tcPr>
          <w:p w14:paraId="2451173A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  <w:r w:rsidRPr="0041298A">
              <w:rPr>
                <w:b/>
              </w:rPr>
              <w:t> </w:t>
            </w:r>
            <w:r>
              <w:rPr>
                <w:b/>
              </w:rPr>
              <w:t>528</w:t>
            </w:r>
          </w:p>
        </w:tc>
        <w:tc>
          <w:tcPr>
            <w:tcW w:w="1304" w:type="dxa"/>
          </w:tcPr>
          <w:p w14:paraId="55F4BFEB" w14:textId="77777777" w:rsidR="00C82444" w:rsidRPr="0041298A" w:rsidRDefault="00944CD0" w:rsidP="00B266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6 919</w:t>
            </w:r>
          </w:p>
        </w:tc>
      </w:tr>
      <w:tr w:rsidR="00C82444" w:rsidRPr="0063239F" w14:paraId="677F3DB0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513D5F40" w14:textId="77777777" w:rsidR="00C82444" w:rsidRPr="000C43EC" w:rsidRDefault="00C82444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0C43EC">
              <w:rPr>
                <w:rFonts w:ascii="Calibri" w:eastAsia="Cambria" w:hAnsi="Calibri" w:cs="Times New Roman"/>
                <w:kern w:val="20"/>
                <w:lang w:eastAsia="cs-CZ"/>
              </w:rPr>
              <w:t>Zůstatková cena prodaného DHM</w:t>
            </w:r>
          </w:p>
        </w:tc>
        <w:tc>
          <w:tcPr>
            <w:tcW w:w="1304" w:type="dxa"/>
          </w:tcPr>
          <w:p w14:paraId="3A7BEA59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0</w:t>
            </w:r>
          </w:p>
        </w:tc>
        <w:tc>
          <w:tcPr>
            <w:tcW w:w="1304" w:type="dxa"/>
          </w:tcPr>
          <w:p w14:paraId="3EDA38D7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1 214</w:t>
            </w:r>
          </w:p>
        </w:tc>
        <w:tc>
          <w:tcPr>
            <w:tcW w:w="1304" w:type="dxa"/>
          </w:tcPr>
          <w:p w14:paraId="54C36825" w14:textId="77777777" w:rsidR="00C82444" w:rsidRPr="0041298A" w:rsidRDefault="00944CD0" w:rsidP="00FE062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C82444" w:rsidRPr="0063239F" w14:paraId="11C4FD2D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176E7882" w14:textId="77777777" w:rsidR="00C82444" w:rsidRPr="002131F1" w:rsidRDefault="00C82444" w:rsidP="00FE062D">
            <w:pPr>
              <w:rPr>
                <w:rFonts w:ascii="Calibri" w:eastAsia="Cambria" w:hAnsi="Calibri" w:cs="Times New Roman"/>
                <w:kern w:val="20"/>
                <w:lang w:eastAsia="cs-CZ"/>
              </w:rPr>
            </w:pPr>
            <w:r w:rsidRPr="002131F1">
              <w:rPr>
                <w:rFonts w:ascii="Calibri" w:eastAsia="Cambria" w:hAnsi="Calibri" w:cs="Times New Roman"/>
                <w:kern w:val="20"/>
                <w:lang w:eastAsia="cs-CZ"/>
              </w:rPr>
              <w:t>Zůstatková cena prodaného materiálu</w:t>
            </w:r>
          </w:p>
        </w:tc>
        <w:tc>
          <w:tcPr>
            <w:tcW w:w="1304" w:type="dxa"/>
          </w:tcPr>
          <w:p w14:paraId="0411D877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26</w:t>
            </w:r>
          </w:p>
        </w:tc>
        <w:tc>
          <w:tcPr>
            <w:tcW w:w="1304" w:type="dxa"/>
          </w:tcPr>
          <w:p w14:paraId="3BA9FA6A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2</w:t>
            </w:r>
            <w:r>
              <w:t>1</w:t>
            </w:r>
          </w:p>
        </w:tc>
        <w:tc>
          <w:tcPr>
            <w:tcW w:w="1304" w:type="dxa"/>
          </w:tcPr>
          <w:p w14:paraId="02F87C4B" w14:textId="77777777" w:rsidR="00C82444" w:rsidRPr="0041298A" w:rsidRDefault="00944CD0" w:rsidP="00B266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C82444" w:rsidRPr="0063239F" w14:paraId="5FFC67D5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4D31561B" w14:textId="77777777" w:rsidR="00C82444" w:rsidRPr="002131F1" w:rsidRDefault="00C82444" w:rsidP="00FE062D">
            <w:pPr>
              <w:rPr>
                <w:rFonts w:ascii="Calibri" w:eastAsia="Cambria" w:hAnsi="Calibri" w:cs="Times New Roman"/>
                <w:kern w:val="20"/>
                <w:lang w:eastAsia="cs-CZ"/>
              </w:rPr>
            </w:pPr>
            <w:r w:rsidRPr="002131F1">
              <w:rPr>
                <w:rFonts w:ascii="Calibri" w:eastAsia="Cambria" w:hAnsi="Calibri" w:cs="Times New Roman"/>
                <w:kern w:val="20"/>
                <w:lang w:eastAsia="cs-CZ"/>
              </w:rPr>
              <w:t>Daně a poplatky</w:t>
            </w:r>
          </w:p>
        </w:tc>
        <w:tc>
          <w:tcPr>
            <w:tcW w:w="1304" w:type="dxa"/>
          </w:tcPr>
          <w:p w14:paraId="78C12179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592</w:t>
            </w:r>
          </w:p>
        </w:tc>
        <w:tc>
          <w:tcPr>
            <w:tcW w:w="1304" w:type="dxa"/>
          </w:tcPr>
          <w:p w14:paraId="242E0CBB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5</w:t>
            </w:r>
            <w:r>
              <w:t>58</w:t>
            </w:r>
          </w:p>
        </w:tc>
        <w:tc>
          <w:tcPr>
            <w:tcW w:w="1304" w:type="dxa"/>
          </w:tcPr>
          <w:p w14:paraId="15AB1975" w14:textId="77777777" w:rsidR="00C82444" w:rsidRPr="0041298A" w:rsidRDefault="00944CD0" w:rsidP="00B266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544</w:t>
            </w:r>
          </w:p>
        </w:tc>
      </w:tr>
      <w:tr w:rsidR="00C82444" w:rsidRPr="0063239F" w14:paraId="6967CB9F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71283769" w14:textId="77777777" w:rsidR="00C82444" w:rsidRPr="002131F1" w:rsidRDefault="00C82444" w:rsidP="003F3256">
            <w:pPr>
              <w:rPr>
                <w:rFonts w:ascii="Calibri" w:eastAsia="Cambria" w:hAnsi="Calibri" w:cs="Times New Roman"/>
                <w:kern w:val="20"/>
                <w:lang w:eastAsia="cs-CZ"/>
              </w:rPr>
            </w:pPr>
            <w:r w:rsidRPr="002131F1">
              <w:rPr>
                <w:rFonts w:ascii="Calibri" w:eastAsia="Cambria" w:hAnsi="Calibri" w:cs="Times New Roman"/>
                <w:kern w:val="20"/>
                <w:lang w:eastAsia="cs-CZ"/>
              </w:rPr>
              <w:t>Jiné provozní náklady</w:t>
            </w:r>
            <w:r>
              <w:rPr>
                <w:rFonts w:ascii="Calibri" w:eastAsia="Cambria" w:hAnsi="Calibri" w:cs="Times New Roman"/>
                <w:kern w:val="20"/>
                <w:lang w:eastAsia="cs-CZ"/>
              </w:rPr>
              <w:t xml:space="preserve"> a rezervy</w:t>
            </w:r>
          </w:p>
        </w:tc>
        <w:tc>
          <w:tcPr>
            <w:tcW w:w="1304" w:type="dxa"/>
          </w:tcPr>
          <w:p w14:paraId="2EE2999A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1 468</w:t>
            </w:r>
          </w:p>
        </w:tc>
        <w:tc>
          <w:tcPr>
            <w:tcW w:w="1304" w:type="dxa"/>
          </w:tcPr>
          <w:p w14:paraId="462B767F" w14:textId="77777777" w:rsidR="00C82444" w:rsidRPr="0041298A" w:rsidRDefault="00C82444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41298A">
              <w:t> </w:t>
            </w:r>
            <w:r>
              <w:t>735</w:t>
            </w:r>
          </w:p>
        </w:tc>
        <w:tc>
          <w:tcPr>
            <w:tcW w:w="1304" w:type="dxa"/>
          </w:tcPr>
          <w:p w14:paraId="0C6DBFE7" w14:textId="77777777" w:rsidR="00C82444" w:rsidRPr="0041298A" w:rsidRDefault="00944CD0" w:rsidP="00B266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6 346</w:t>
            </w:r>
          </w:p>
        </w:tc>
      </w:tr>
      <w:tr w:rsidR="00C82444" w:rsidRPr="0063239F" w14:paraId="08532782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4DFB7046" w14:textId="77777777" w:rsidR="00C82444" w:rsidRPr="002131F1" w:rsidRDefault="00C82444" w:rsidP="00FE062D">
            <w:pPr>
              <w:rPr>
                <w:rFonts w:ascii="Calibri" w:eastAsia="Cambria" w:hAnsi="Calibri" w:cs="Times New Roman"/>
                <w:kern w:val="20"/>
                <w:lang w:eastAsia="cs-CZ"/>
              </w:rPr>
            </w:pPr>
            <w:r w:rsidRPr="002131F1"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Provozní výsledek hospodaření</w:t>
            </w:r>
          </w:p>
        </w:tc>
        <w:tc>
          <w:tcPr>
            <w:tcW w:w="1304" w:type="dxa"/>
          </w:tcPr>
          <w:p w14:paraId="420EFB48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- 1 507</w:t>
            </w:r>
          </w:p>
        </w:tc>
        <w:tc>
          <w:tcPr>
            <w:tcW w:w="1304" w:type="dxa"/>
          </w:tcPr>
          <w:p w14:paraId="53CAC86E" w14:textId="77777777" w:rsidR="00C82444" w:rsidRPr="0041298A" w:rsidRDefault="00C82444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 </w:t>
            </w:r>
            <w:r>
              <w:rPr>
                <w:b/>
              </w:rPr>
              <w:t>3</w:t>
            </w:r>
            <w:r w:rsidRPr="0041298A">
              <w:rPr>
                <w:b/>
              </w:rPr>
              <w:t> </w:t>
            </w:r>
            <w:r>
              <w:rPr>
                <w:b/>
              </w:rPr>
              <w:t>062</w:t>
            </w:r>
          </w:p>
        </w:tc>
        <w:tc>
          <w:tcPr>
            <w:tcW w:w="1304" w:type="dxa"/>
          </w:tcPr>
          <w:p w14:paraId="2578048C" w14:textId="77777777" w:rsidR="00C82444" w:rsidRPr="0041298A" w:rsidRDefault="007360F8" w:rsidP="00944CD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-18 8</w:t>
            </w:r>
            <w:r w:rsidR="00944CD0">
              <w:rPr>
                <w:b/>
              </w:rPr>
              <w:t>98</w:t>
            </w:r>
          </w:p>
        </w:tc>
      </w:tr>
    </w:tbl>
    <w:p w14:paraId="791F65FD" w14:textId="77777777" w:rsidR="00F01CFA" w:rsidRPr="00F01CFA" w:rsidRDefault="00F01CFA" w:rsidP="00F01CFA"/>
    <w:p w14:paraId="44988ADA" w14:textId="77777777" w:rsidR="000B1DA4" w:rsidRPr="00F86634" w:rsidRDefault="000B1DA4" w:rsidP="000B1DA4">
      <w:pPr>
        <w:rPr>
          <w:color w:val="365F91" w:themeColor="accent1" w:themeShade="BF"/>
          <w:sz w:val="52"/>
          <w:szCs w:val="52"/>
        </w:rPr>
      </w:pPr>
      <w:r w:rsidRPr="00F86634">
        <w:rPr>
          <w:color w:val="365F91" w:themeColor="accent1" w:themeShade="BF"/>
          <w:sz w:val="52"/>
          <w:szCs w:val="52"/>
        </w:rPr>
        <w:lastRenderedPageBreak/>
        <w:t>FINANČNÍ VÝKAZY</w:t>
      </w:r>
    </w:p>
    <w:p w14:paraId="2B13B56C" w14:textId="77777777" w:rsidR="00FE062D" w:rsidRPr="00344324" w:rsidRDefault="00FE062D" w:rsidP="00FE062D">
      <w:pPr>
        <w:pStyle w:val="Titulek"/>
        <w:keepNext/>
        <w:rPr>
          <w:color w:val="002060"/>
          <w:sz w:val="24"/>
          <w:szCs w:val="24"/>
        </w:rPr>
      </w:pPr>
      <w:r w:rsidRPr="00344324">
        <w:rPr>
          <w:color w:val="002060"/>
          <w:sz w:val="24"/>
          <w:szCs w:val="24"/>
        </w:rPr>
        <w:t>VÝKAZ ZISKŮ A ZTRÁT</w:t>
      </w:r>
    </w:p>
    <w:tbl>
      <w:tblPr>
        <w:tblStyle w:val="Svtlmkazvraznn1"/>
        <w:tblW w:w="9070" w:type="dxa"/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E70395" w:rsidRPr="00177CD3" w14:paraId="4B08625F" w14:textId="77777777" w:rsidTr="00E33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9" w:type="dxa"/>
            <w:vMerge w:val="restart"/>
          </w:tcPr>
          <w:p w14:paraId="2E23BD1D" w14:textId="77777777" w:rsidR="00E70395" w:rsidRPr="009C013F" w:rsidRDefault="00E70395" w:rsidP="00FE062D">
            <w:pPr>
              <w:ind w:left="-227" w:firstLine="227"/>
              <w:rPr>
                <w:b w:val="0"/>
              </w:rPr>
            </w:pPr>
            <w:r w:rsidRPr="009C013F">
              <w:rPr>
                <w:b w:val="0"/>
              </w:rPr>
              <w:t>Český porcelán, a. s.</w:t>
            </w:r>
          </w:p>
        </w:tc>
        <w:tc>
          <w:tcPr>
            <w:tcW w:w="1247" w:type="dxa"/>
          </w:tcPr>
          <w:p w14:paraId="2C1AC2F3" w14:textId="77777777" w:rsidR="00E70395" w:rsidRPr="00177CD3" w:rsidRDefault="00E70395" w:rsidP="00222E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7CD3">
              <w:rPr>
                <w:b w:val="0"/>
              </w:rPr>
              <w:t>201</w:t>
            </w:r>
            <w:r>
              <w:rPr>
                <w:b w:val="0"/>
              </w:rPr>
              <w:t>7</w:t>
            </w:r>
          </w:p>
        </w:tc>
        <w:tc>
          <w:tcPr>
            <w:tcW w:w="1247" w:type="dxa"/>
          </w:tcPr>
          <w:p w14:paraId="19B5ADB6" w14:textId="77777777" w:rsidR="00E70395" w:rsidRPr="00177CD3" w:rsidRDefault="00E70395" w:rsidP="00222E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7CD3">
              <w:rPr>
                <w:b w:val="0"/>
              </w:rPr>
              <w:t>201</w:t>
            </w:r>
            <w:r>
              <w:rPr>
                <w:b w:val="0"/>
              </w:rPr>
              <w:t>8</w:t>
            </w:r>
          </w:p>
        </w:tc>
        <w:tc>
          <w:tcPr>
            <w:tcW w:w="1247" w:type="dxa"/>
          </w:tcPr>
          <w:p w14:paraId="69D5D2E4" w14:textId="77777777" w:rsidR="00E70395" w:rsidRPr="00177CD3" w:rsidRDefault="00E70395" w:rsidP="00E7039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7CD3">
              <w:rPr>
                <w:b w:val="0"/>
              </w:rPr>
              <w:t>201</w:t>
            </w:r>
            <w:r>
              <w:rPr>
                <w:b w:val="0"/>
              </w:rPr>
              <w:t>9</w:t>
            </w:r>
          </w:p>
        </w:tc>
      </w:tr>
      <w:tr w:rsidR="00E70395" w14:paraId="321B19B5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9" w:type="dxa"/>
            <w:vMerge/>
          </w:tcPr>
          <w:p w14:paraId="1BB2C5C8" w14:textId="77777777" w:rsidR="00E70395" w:rsidRPr="009C013F" w:rsidRDefault="00E70395" w:rsidP="00FE062D">
            <w:pPr>
              <w:rPr>
                <w:b w:val="0"/>
              </w:rPr>
            </w:pPr>
          </w:p>
        </w:tc>
        <w:tc>
          <w:tcPr>
            <w:tcW w:w="1247" w:type="dxa"/>
          </w:tcPr>
          <w:p w14:paraId="345A5962" w14:textId="77777777" w:rsidR="00E70395" w:rsidRDefault="00E70395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tis. Kč</w:t>
            </w:r>
          </w:p>
        </w:tc>
        <w:tc>
          <w:tcPr>
            <w:tcW w:w="1247" w:type="dxa"/>
          </w:tcPr>
          <w:p w14:paraId="0923C245" w14:textId="77777777" w:rsidR="00E70395" w:rsidRDefault="00E70395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tis. Kč</w:t>
            </w:r>
          </w:p>
        </w:tc>
        <w:tc>
          <w:tcPr>
            <w:tcW w:w="1247" w:type="dxa"/>
          </w:tcPr>
          <w:p w14:paraId="3BE0975A" w14:textId="77777777" w:rsidR="00E70395" w:rsidRDefault="00E70395" w:rsidP="00FE06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tis. Kč</w:t>
            </w:r>
          </w:p>
        </w:tc>
      </w:tr>
      <w:tr w:rsidR="00E70395" w:rsidRPr="0063239F" w14:paraId="3E005097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9" w:type="dxa"/>
          </w:tcPr>
          <w:p w14:paraId="54B60F91" w14:textId="77777777" w:rsidR="00E70395" w:rsidRPr="004E71A8" w:rsidRDefault="00E70395" w:rsidP="00FE062D">
            <w:pPr>
              <w:rPr>
                <w:b w:val="0"/>
              </w:rPr>
            </w:pPr>
            <w:r w:rsidRPr="002940C0"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Výnosy z DFM</w:t>
            </w:r>
          </w:p>
        </w:tc>
        <w:tc>
          <w:tcPr>
            <w:tcW w:w="1247" w:type="dxa"/>
          </w:tcPr>
          <w:p w14:paraId="67800D35" w14:textId="77777777" w:rsidR="00E70395" w:rsidRPr="0041298A" w:rsidRDefault="00E70395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0</w:t>
            </w:r>
          </w:p>
        </w:tc>
        <w:tc>
          <w:tcPr>
            <w:tcW w:w="1247" w:type="dxa"/>
          </w:tcPr>
          <w:p w14:paraId="36879ACC" w14:textId="77777777" w:rsidR="00E70395" w:rsidRPr="0041298A" w:rsidRDefault="00E70395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0</w:t>
            </w:r>
          </w:p>
        </w:tc>
        <w:tc>
          <w:tcPr>
            <w:tcW w:w="1247" w:type="dxa"/>
          </w:tcPr>
          <w:p w14:paraId="0B4A5735" w14:textId="77777777" w:rsidR="00E70395" w:rsidRPr="0041298A" w:rsidRDefault="00272F31" w:rsidP="00FE062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70395" w:rsidRPr="0063239F" w14:paraId="605F1713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9" w:type="dxa"/>
          </w:tcPr>
          <w:p w14:paraId="2D207D82" w14:textId="77777777" w:rsidR="00E70395" w:rsidRPr="004E71A8" w:rsidRDefault="00E70395" w:rsidP="00FE062D">
            <w:pPr>
              <w:rPr>
                <w:b w:val="0"/>
              </w:rPr>
            </w:pPr>
            <w:r w:rsidRPr="002940C0"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Náklady vynaložené na prodané podíly</w:t>
            </w:r>
          </w:p>
        </w:tc>
        <w:tc>
          <w:tcPr>
            <w:tcW w:w="1247" w:type="dxa"/>
          </w:tcPr>
          <w:p w14:paraId="527BB719" w14:textId="77777777" w:rsidR="00E70395" w:rsidRPr="0041298A" w:rsidRDefault="00E70395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0</w:t>
            </w:r>
          </w:p>
        </w:tc>
        <w:tc>
          <w:tcPr>
            <w:tcW w:w="1247" w:type="dxa"/>
          </w:tcPr>
          <w:p w14:paraId="6F2C0FDF" w14:textId="77777777" w:rsidR="00E70395" w:rsidRPr="0041298A" w:rsidRDefault="00E70395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0</w:t>
            </w:r>
          </w:p>
        </w:tc>
        <w:tc>
          <w:tcPr>
            <w:tcW w:w="1247" w:type="dxa"/>
          </w:tcPr>
          <w:p w14:paraId="0869DD65" w14:textId="77777777" w:rsidR="00E70395" w:rsidRPr="0041298A" w:rsidRDefault="00E70395" w:rsidP="00FE06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0</w:t>
            </w:r>
          </w:p>
        </w:tc>
      </w:tr>
      <w:tr w:rsidR="00E70395" w:rsidRPr="0063239F" w14:paraId="7F6529EA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9" w:type="dxa"/>
          </w:tcPr>
          <w:p w14:paraId="3B051443" w14:textId="77777777" w:rsidR="00E70395" w:rsidRPr="004E71A8" w:rsidRDefault="00E70395" w:rsidP="00FE062D">
            <w:pPr>
              <w:rPr>
                <w:b w:val="0"/>
              </w:rPr>
            </w:pPr>
            <w:r w:rsidRPr="002940C0"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Výnosy z ostatního DFM</w:t>
            </w:r>
          </w:p>
        </w:tc>
        <w:tc>
          <w:tcPr>
            <w:tcW w:w="1247" w:type="dxa"/>
          </w:tcPr>
          <w:p w14:paraId="4CE71872" w14:textId="77777777" w:rsidR="00E70395" w:rsidRPr="0041298A" w:rsidRDefault="00E70395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0</w:t>
            </w:r>
          </w:p>
        </w:tc>
        <w:tc>
          <w:tcPr>
            <w:tcW w:w="1247" w:type="dxa"/>
          </w:tcPr>
          <w:p w14:paraId="58A1998A" w14:textId="77777777" w:rsidR="00E70395" w:rsidRPr="0041298A" w:rsidRDefault="00E70395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0</w:t>
            </w:r>
          </w:p>
        </w:tc>
        <w:tc>
          <w:tcPr>
            <w:tcW w:w="1247" w:type="dxa"/>
          </w:tcPr>
          <w:p w14:paraId="4A8C31F4" w14:textId="77777777" w:rsidR="00E70395" w:rsidRPr="0041298A" w:rsidRDefault="00E70395" w:rsidP="00FE062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0</w:t>
            </w:r>
          </w:p>
        </w:tc>
      </w:tr>
      <w:tr w:rsidR="00E70395" w:rsidRPr="0063239F" w14:paraId="6667A803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9" w:type="dxa"/>
          </w:tcPr>
          <w:p w14:paraId="6705F2C3" w14:textId="77777777" w:rsidR="00E70395" w:rsidRPr="004E71A8" w:rsidRDefault="00E70395" w:rsidP="00FE062D">
            <w:r w:rsidRPr="004E71A8">
              <w:rPr>
                <w:rFonts w:ascii="Calibri" w:eastAsia="Cambria" w:hAnsi="Calibri" w:cs="Times New Roman"/>
                <w:kern w:val="20"/>
                <w:lang w:eastAsia="cs-CZ"/>
              </w:rPr>
              <w:t>Ostatní výnosy z ostatního DFM</w:t>
            </w:r>
          </w:p>
        </w:tc>
        <w:tc>
          <w:tcPr>
            <w:tcW w:w="1247" w:type="dxa"/>
          </w:tcPr>
          <w:p w14:paraId="6A3F0D50" w14:textId="77777777" w:rsidR="00E70395" w:rsidRPr="0041298A" w:rsidRDefault="00E70395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0</w:t>
            </w:r>
          </w:p>
        </w:tc>
        <w:tc>
          <w:tcPr>
            <w:tcW w:w="1247" w:type="dxa"/>
          </w:tcPr>
          <w:p w14:paraId="0FEE942D" w14:textId="77777777" w:rsidR="00E70395" w:rsidRPr="0041298A" w:rsidRDefault="00E70395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0</w:t>
            </w:r>
          </w:p>
        </w:tc>
        <w:tc>
          <w:tcPr>
            <w:tcW w:w="1247" w:type="dxa"/>
          </w:tcPr>
          <w:p w14:paraId="4EB73B38" w14:textId="77777777" w:rsidR="00E70395" w:rsidRPr="0041298A" w:rsidRDefault="00E70395" w:rsidP="00FE06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0</w:t>
            </w:r>
          </w:p>
        </w:tc>
      </w:tr>
      <w:tr w:rsidR="00E70395" w:rsidRPr="0063239F" w14:paraId="6FE7C4F8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9" w:type="dxa"/>
          </w:tcPr>
          <w:p w14:paraId="31A55EAC" w14:textId="77777777" w:rsidR="00E70395" w:rsidRPr="004E71A8" w:rsidRDefault="00E70395" w:rsidP="00FE062D">
            <w:r w:rsidRPr="004E71A8"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Náklady související s ostatním DFM</w:t>
            </w:r>
          </w:p>
        </w:tc>
        <w:tc>
          <w:tcPr>
            <w:tcW w:w="1247" w:type="dxa"/>
          </w:tcPr>
          <w:p w14:paraId="302DAF52" w14:textId="77777777" w:rsidR="00E70395" w:rsidRPr="0041298A" w:rsidRDefault="00E70395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0</w:t>
            </w:r>
          </w:p>
        </w:tc>
        <w:tc>
          <w:tcPr>
            <w:tcW w:w="1247" w:type="dxa"/>
          </w:tcPr>
          <w:p w14:paraId="63ABB786" w14:textId="77777777" w:rsidR="00E70395" w:rsidRPr="0041298A" w:rsidRDefault="00E70395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0</w:t>
            </w:r>
          </w:p>
        </w:tc>
        <w:tc>
          <w:tcPr>
            <w:tcW w:w="1247" w:type="dxa"/>
          </w:tcPr>
          <w:p w14:paraId="4DAC8E9C" w14:textId="77777777" w:rsidR="00E70395" w:rsidRPr="0041298A" w:rsidRDefault="00E70395" w:rsidP="00FE062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0</w:t>
            </w:r>
          </w:p>
        </w:tc>
      </w:tr>
      <w:tr w:rsidR="00E70395" w:rsidRPr="0063239F" w14:paraId="229DF2B1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9" w:type="dxa"/>
          </w:tcPr>
          <w:p w14:paraId="297C572E" w14:textId="77777777" w:rsidR="00E70395" w:rsidRPr="004E71A8" w:rsidRDefault="00E70395" w:rsidP="00FE062D">
            <w:r w:rsidRPr="004E71A8"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Výnosové úroky a podobné výnosy</w:t>
            </w:r>
          </w:p>
        </w:tc>
        <w:tc>
          <w:tcPr>
            <w:tcW w:w="1247" w:type="dxa"/>
          </w:tcPr>
          <w:p w14:paraId="22294792" w14:textId="77777777" w:rsidR="00E70395" w:rsidRPr="0041298A" w:rsidRDefault="00E70395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35</w:t>
            </w:r>
          </w:p>
        </w:tc>
        <w:tc>
          <w:tcPr>
            <w:tcW w:w="1247" w:type="dxa"/>
          </w:tcPr>
          <w:p w14:paraId="24AB66EF" w14:textId="77777777" w:rsidR="00E70395" w:rsidRPr="0041298A" w:rsidRDefault="00E70395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47" w:type="dxa"/>
          </w:tcPr>
          <w:p w14:paraId="5E98AFD2" w14:textId="77777777" w:rsidR="00E70395" w:rsidRPr="0041298A" w:rsidRDefault="00272F31" w:rsidP="00FE06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E70395" w:rsidRPr="0063239F" w14:paraId="2B889E9F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9" w:type="dxa"/>
          </w:tcPr>
          <w:p w14:paraId="20743D41" w14:textId="77777777" w:rsidR="00E70395" w:rsidRPr="004E71A8" w:rsidRDefault="00E70395" w:rsidP="00FE062D">
            <w:r w:rsidRPr="004E71A8">
              <w:rPr>
                <w:rFonts w:ascii="Calibri" w:eastAsia="Cambria" w:hAnsi="Calibri" w:cs="Times New Roman"/>
                <w:kern w:val="20"/>
                <w:lang w:eastAsia="cs-CZ"/>
              </w:rPr>
              <w:t>Ostatní výnosové úroky a podobné výnosy</w:t>
            </w:r>
          </w:p>
        </w:tc>
        <w:tc>
          <w:tcPr>
            <w:tcW w:w="1247" w:type="dxa"/>
          </w:tcPr>
          <w:p w14:paraId="265EAEFF" w14:textId="77777777" w:rsidR="00E70395" w:rsidRPr="0041298A" w:rsidRDefault="00E70395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35</w:t>
            </w:r>
          </w:p>
        </w:tc>
        <w:tc>
          <w:tcPr>
            <w:tcW w:w="1247" w:type="dxa"/>
          </w:tcPr>
          <w:p w14:paraId="196C31F3" w14:textId="77777777" w:rsidR="00E70395" w:rsidRPr="0041298A" w:rsidRDefault="00E70395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47" w:type="dxa"/>
          </w:tcPr>
          <w:p w14:paraId="66C4EB6D" w14:textId="77777777" w:rsidR="00E70395" w:rsidRPr="0041298A" w:rsidRDefault="00272F31" w:rsidP="00FE062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</w:p>
        </w:tc>
      </w:tr>
      <w:tr w:rsidR="00E70395" w:rsidRPr="0063239F" w14:paraId="49CA867C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9" w:type="dxa"/>
          </w:tcPr>
          <w:p w14:paraId="333A146D" w14:textId="77777777" w:rsidR="00E70395" w:rsidRPr="004E71A8" w:rsidRDefault="00E70395" w:rsidP="00FE062D">
            <w:r w:rsidRPr="004E71A8"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Úpravy hodnot a rezervy ve finanční oblasti</w:t>
            </w:r>
          </w:p>
        </w:tc>
        <w:tc>
          <w:tcPr>
            <w:tcW w:w="1247" w:type="dxa"/>
          </w:tcPr>
          <w:p w14:paraId="562E6B32" w14:textId="77777777" w:rsidR="00E70395" w:rsidRPr="0041298A" w:rsidRDefault="00E70395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0</w:t>
            </w:r>
          </w:p>
        </w:tc>
        <w:tc>
          <w:tcPr>
            <w:tcW w:w="1247" w:type="dxa"/>
          </w:tcPr>
          <w:p w14:paraId="4DD32F96" w14:textId="77777777" w:rsidR="00E70395" w:rsidRPr="0041298A" w:rsidRDefault="00E70395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-31</w:t>
            </w:r>
          </w:p>
        </w:tc>
        <w:tc>
          <w:tcPr>
            <w:tcW w:w="1247" w:type="dxa"/>
          </w:tcPr>
          <w:p w14:paraId="39D55FD7" w14:textId="77777777" w:rsidR="00E70395" w:rsidRPr="0041298A" w:rsidRDefault="00E70395" w:rsidP="00272F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272F31">
              <w:rPr>
                <w:b/>
              </w:rPr>
              <w:t>24</w:t>
            </w:r>
          </w:p>
        </w:tc>
      </w:tr>
      <w:tr w:rsidR="00E70395" w:rsidRPr="0063239F" w14:paraId="0CAD201B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9" w:type="dxa"/>
          </w:tcPr>
          <w:p w14:paraId="7996128B" w14:textId="77777777" w:rsidR="00E70395" w:rsidRPr="004E71A8" w:rsidRDefault="00E70395" w:rsidP="00FE062D">
            <w:r w:rsidRPr="004E71A8"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Nákladové úroky a podobné náklady</w:t>
            </w:r>
          </w:p>
        </w:tc>
        <w:tc>
          <w:tcPr>
            <w:tcW w:w="1247" w:type="dxa"/>
          </w:tcPr>
          <w:p w14:paraId="0D5253FD" w14:textId="77777777" w:rsidR="00E70395" w:rsidRPr="0041298A" w:rsidRDefault="00E70395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32</w:t>
            </w:r>
          </w:p>
        </w:tc>
        <w:tc>
          <w:tcPr>
            <w:tcW w:w="1247" w:type="dxa"/>
          </w:tcPr>
          <w:p w14:paraId="2A6CBD32" w14:textId="77777777" w:rsidR="00E70395" w:rsidRPr="0041298A" w:rsidRDefault="00E70395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1247" w:type="dxa"/>
          </w:tcPr>
          <w:p w14:paraId="28A2E80E" w14:textId="77777777" w:rsidR="00E70395" w:rsidRPr="0041298A" w:rsidRDefault="00272F31" w:rsidP="00B266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70395" w:rsidRPr="0063239F" w14:paraId="4C15FDFC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9" w:type="dxa"/>
          </w:tcPr>
          <w:p w14:paraId="68B55611" w14:textId="77777777" w:rsidR="00E70395" w:rsidRPr="004E71A8" w:rsidRDefault="00E70395" w:rsidP="00FE062D">
            <w:r w:rsidRPr="004E71A8">
              <w:rPr>
                <w:rFonts w:ascii="Calibri" w:eastAsia="Cambria" w:hAnsi="Calibri" w:cs="Times New Roman"/>
                <w:kern w:val="20"/>
                <w:lang w:eastAsia="cs-CZ"/>
              </w:rPr>
              <w:t>Ostatní nákladové úroky a podobné náklady</w:t>
            </w:r>
          </w:p>
        </w:tc>
        <w:tc>
          <w:tcPr>
            <w:tcW w:w="1247" w:type="dxa"/>
          </w:tcPr>
          <w:p w14:paraId="0FB3B51A" w14:textId="77777777" w:rsidR="00E70395" w:rsidRPr="0041298A" w:rsidRDefault="00E70395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32</w:t>
            </w:r>
          </w:p>
        </w:tc>
        <w:tc>
          <w:tcPr>
            <w:tcW w:w="1247" w:type="dxa"/>
          </w:tcPr>
          <w:p w14:paraId="7C3761A3" w14:textId="77777777" w:rsidR="00E70395" w:rsidRPr="0041298A" w:rsidRDefault="00E70395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3</w:t>
            </w:r>
            <w:r>
              <w:t>3</w:t>
            </w:r>
          </w:p>
        </w:tc>
        <w:tc>
          <w:tcPr>
            <w:tcW w:w="1247" w:type="dxa"/>
          </w:tcPr>
          <w:p w14:paraId="73A99715" w14:textId="77777777" w:rsidR="00E70395" w:rsidRPr="0041298A" w:rsidRDefault="00272F31" w:rsidP="00B266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</w:tr>
      <w:tr w:rsidR="00E70395" w:rsidRPr="0063239F" w14:paraId="6702876A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9" w:type="dxa"/>
          </w:tcPr>
          <w:p w14:paraId="02BD820B" w14:textId="77777777" w:rsidR="00E70395" w:rsidRPr="004E71A8" w:rsidRDefault="00E70395" w:rsidP="00FE062D">
            <w:r w:rsidRPr="004E71A8"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Ostatní finanční výnosy</w:t>
            </w:r>
          </w:p>
        </w:tc>
        <w:tc>
          <w:tcPr>
            <w:tcW w:w="1247" w:type="dxa"/>
          </w:tcPr>
          <w:p w14:paraId="3B329D23" w14:textId="77777777" w:rsidR="00E70395" w:rsidRPr="0041298A" w:rsidRDefault="00E70395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596</w:t>
            </w:r>
          </w:p>
        </w:tc>
        <w:tc>
          <w:tcPr>
            <w:tcW w:w="1247" w:type="dxa"/>
          </w:tcPr>
          <w:p w14:paraId="1FC329F3" w14:textId="77777777" w:rsidR="00E70395" w:rsidRPr="0041298A" w:rsidRDefault="00E70395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957</w:t>
            </w:r>
          </w:p>
        </w:tc>
        <w:tc>
          <w:tcPr>
            <w:tcW w:w="1247" w:type="dxa"/>
          </w:tcPr>
          <w:p w14:paraId="1D2D1EC7" w14:textId="77777777" w:rsidR="00E70395" w:rsidRPr="0041298A" w:rsidRDefault="00272F31" w:rsidP="00B266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510</w:t>
            </w:r>
          </w:p>
        </w:tc>
      </w:tr>
      <w:tr w:rsidR="00E70395" w:rsidRPr="0063239F" w14:paraId="220AD6DD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9" w:type="dxa"/>
          </w:tcPr>
          <w:p w14:paraId="6711E684" w14:textId="77777777" w:rsidR="00E70395" w:rsidRPr="004E71A8" w:rsidRDefault="00E70395" w:rsidP="00FE062D">
            <w:pPr>
              <w:rPr>
                <w:rFonts w:ascii="Calibri" w:eastAsia="Times New Roman" w:hAnsi="Calibri"/>
                <w:bCs w:val="0"/>
                <w:kern w:val="20"/>
                <w:lang w:eastAsia="cs-CZ"/>
              </w:rPr>
            </w:pPr>
            <w:r w:rsidRPr="004E71A8"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Ostatní finanční náklady</w:t>
            </w:r>
          </w:p>
        </w:tc>
        <w:tc>
          <w:tcPr>
            <w:tcW w:w="1247" w:type="dxa"/>
          </w:tcPr>
          <w:p w14:paraId="34C53D35" w14:textId="77777777" w:rsidR="00E70395" w:rsidRPr="0041298A" w:rsidRDefault="00E70395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1 940</w:t>
            </w:r>
          </w:p>
        </w:tc>
        <w:tc>
          <w:tcPr>
            <w:tcW w:w="1247" w:type="dxa"/>
          </w:tcPr>
          <w:p w14:paraId="0DC9D946" w14:textId="77777777" w:rsidR="00E70395" w:rsidRPr="0041298A" w:rsidRDefault="00E70395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9</w:t>
            </w:r>
            <w:r>
              <w:rPr>
                <w:b/>
              </w:rPr>
              <w:t>98</w:t>
            </w:r>
          </w:p>
        </w:tc>
        <w:tc>
          <w:tcPr>
            <w:tcW w:w="1247" w:type="dxa"/>
          </w:tcPr>
          <w:p w14:paraId="13A0FCB1" w14:textId="77777777" w:rsidR="00E70395" w:rsidRPr="0041298A" w:rsidRDefault="00272F31" w:rsidP="00B266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809</w:t>
            </w:r>
          </w:p>
        </w:tc>
      </w:tr>
      <w:tr w:rsidR="00E70395" w:rsidRPr="0063239F" w14:paraId="39E8C8E8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9" w:type="dxa"/>
          </w:tcPr>
          <w:p w14:paraId="14E1977B" w14:textId="77777777" w:rsidR="00E70395" w:rsidRPr="004E71A8" w:rsidRDefault="00E70395" w:rsidP="00FE062D">
            <w:pPr>
              <w:rPr>
                <w:rFonts w:ascii="Calibri" w:eastAsia="Times New Roman" w:hAnsi="Calibri"/>
                <w:bCs w:val="0"/>
                <w:kern w:val="20"/>
                <w:lang w:eastAsia="cs-CZ"/>
              </w:rPr>
            </w:pPr>
            <w:r w:rsidRPr="004E71A8"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Finanční výsledek hospodaření</w:t>
            </w:r>
          </w:p>
        </w:tc>
        <w:tc>
          <w:tcPr>
            <w:tcW w:w="1247" w:type="dxa"/>
          </w:tcPr>
          <w:p w14:paraId="2D7D1031" w14:textId="77777777" w:rsidR="00E70395" w:rsidRPr="0041298A" w:rsidRDefault="00E70395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- 1 341</w:t>
            </w:r>
          </w:p>
        </w:tc>
        <w:tc>
          <w:tcPr>
            <w:tcW w:w="1247" w:type="dxa"/>
          </w:tcPr>
          <w:p w14:paraId="31E2FEB8" w14:textId="77777777" w:rsidR="00E70395" w:rsidRPr="0041298A" w:rsidRDefault="00E70395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 </w:t>
            </w:r>
            <w:r w:rsidRPr="0041298A">
              <w:rPr>
                <w:b/>
              </w:rPr>
              <w:t>3</w:t>
            </w:r>
          </w:p>
        </w:tc>
        <w:tc>
          <w:tcPr>
            <w:tcW w:w="1247" w:type="dxa"/>
          </w:tcPr>
          <w:p w14:paraId="6C52A74B" w14:textId="77777777" w:rsidR="00E70395" w:rsidRPr="0041298A" w:rsidRDefault="00E70395" w:rsidP="00272F3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 </w:t>
            </w:r>
            <w:r w:rsidR="00272F31">
              <w:rPr>
                <w:b/>
              </w:rPr>
              <w:t>268</w:t>
            </w:r>
          </w:p>
        </w:tc>
      </w:tr>
      <w:tr w:rsidR="00E70395" w:rsidRPr="0063239F" w14:paraId="32EF4299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9" w:type="dxa"/>
          </w:tcPr>
          <w:p w14:paraId="32702C0C" w14:textId="77777777" w:rsidR="00E70395" w:rsidRPr="004E71A8" w:rsidRDefault="00E70395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4E71A8"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Výsledek hospodaření před zdaněním</w:t>
            </w:r>
          </w:p>
        </w:tc>
        <w:tc>
          <w:tcPr>
            <w:tcW w:w="1247" w:type="dxa"/>
          </w:tcPr>
          <w:p w14:paraId="145691F1" w14:textId="77777777" w:rsidR="00E70395" w:rsidRPr="0041298A" w:rsidRDefault="00E70395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- 2 848</w:t>
            </w:r>
          </w:p>
        </w:tc>
        <w:tc>
          <w:tcPr>
            <w:tcW w:w="1247" w:type="dxa"/>
          </w:tcPr>
          <w:p w14:paraId="58298C43" w14:textId="77777777" w:rsidR="00E70395" w:rsidRPr="0041298A" w:rsidRDefault="00E70395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Pr="0041298A">
              <w:rPr>
                <w:b/>
              </w:rPr>
              <w:t> </w:t>
            </w:r>
            <w:r>
              <w:rPr>
                <w:b/>
              </w:rPr>
              <w:t>059</w:t>
            </w:r>
          </w:p>
        </w:tc>
        <w:tc>
          <w:tcPr>
            <w:tcW w:w="1247" w:type="dxa"/>
          </w:tcPr>
          <w:p w14:paraId="4CF6CBA4" w14:textId="77777777" w:rsidR="00E70395" w:rsidRPr="0041298A" w:rsidRDefault="00272F31" w:rsidP="00083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-19 16</w:t>
            </w:r>
            <w:r w:rsidR="00083372">
              <w:rPr>
                <w:b/>
              </w:rPr>
              <w:t>7</w:t>
            </w:r>
          </w:p>
        </w:tc>
      </w:tr>
      <w:tr w:rsidR="00E70395" w:rsidRPr="0063239F" w14:paraId="3B5E045F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9" w:type="dxa"/>
          </w:tcPr>
          <w:p w14:paraId="1FDAB044" w14:textId="77777777" w:rsidR="00E70395" w:rsidRPr="004E71A8" w:rsidRDefault="00E70395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4E71A8"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Daň z příjmů</w:t>
            </w:r>
          </w:p>
        </w:tc>
        <w:tc>
          <w:tcPr>
            <w:tcW w:w="1247" w:type="dxa"/>
          </w:tcPr>
          <w:p w14:paraId="23A8DB86" w14:textId="77777777" w:rsidR="00E70395" w:rsidRPr="0041298A" w:rsidRDefault="00E70395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- 1 205</w:t>
            </w:r>
          </w:p>
        </w:tc>
        <w:tc>
          <w:tcPr>
            <w:tcW w:w="1247" w:type="dxa"/>
          </w:tcPr>
          <w:p w14:paraId="1FFA6DB6" w14:textId="77777777" w:rsidR="00E70395" w:rsidRPr="0041298A" w:rsidRDefault="00E70395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- </w:t>
            </w:r>
            <w:r>
              <w:rPr>
                <w:b/>
              </w:rPr>
              <w:t>841</w:t>
            </w:r>
          </w:p>
        </w:tc>
        <w:tc>
          <w:tcPr>
            <w:tcW w:w="1247" w:type="dxa"/>
          </w:tcPr>
          <w:p w14:paraId="654FA446" w14:textId="77777777" w:rsidR="00E70395" w:rsidRPr="0041298A" w:rsidRDefault="00272F31" w:rsidP="00B266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1 757</w:t>
            </w:r>
          </w:p>
        </w:tc>
      </w:tr>
      <w:tr w:rsidR="00E70395" w:rsidRPr="0063239F" w14:paraId="77CFDD69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9" w:type="dxa"/>
          </w:tcPr>
          <w:p w14:paraId="20DA7C6B" w14:textId="77777777" w:rsidR="00E70395" w:rsidRPr="004E71A8" w:rsidRDefault="00E70395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4E71A8">
              <w:rPr>
                <w:rFonts w:ascii="Calibri" w:eastAsia="Cambria" w:hAnsi="Calibri" w:cs="Times New Roman"/>
                <w:kern w:val="20"/>
                <w:lang w:eastAsia="cs-CZ"/>
              </w:rPr>
              <w:t>Daň z příjmů splatná</w:t>
            </w:r>
          </w:p>
        </w:tc>
        <w:tc>
          <w:tcPr>
            <w:tcW w:w="1247" w:type="dxa"/>
          </w:tcPr>
          <w:p w14:paraId="78E3C86B" w14:textId="77777777" w:rsidR="00E70395" w:rsidRPr="0041298A" w:rsidRDefault="00E70395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0</w:t>
            </w:r>
          </w:p>
        </w:tc>
        <w:tc>
          <w:tcPr>
            <w:tcW w:w="1247" w:type="dxa"/>
          </w:tcPr>
          <w:p w14:paraId="558CAFE0" w14:textId="77777777" w:rsidR="00E70395" w:rsidRPr="0041298A" w:rsidRDefault="00E70395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0</w:t>
            </w:r>
          </w:p>
        </w:tc>
        <w:tc>
          <w:tcPr>
            <w:tcW w:w="1247" w:type="dxa"/>
          </w:tcPr>
          <w:p w14:paraId="1143F9B9" w14:textId="77777777" w:rsidR="00E70395" w:rsidRPr="0041298A" w:rsidRDefault="00E70395" w:rsidP="00FE06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98A">
              <w:t>0</w:t>
            </w:r>
          </w:p>
        </w:tc>
      </w:tr>
      <w:tr w:rsidR="00E70395" w:rsidRPr="0063239F" w14:paraId="194C3C72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9" w:type="dxa"/>
          </w:tcPr>
          <w:p w14:paraId="7C6DEF9D" w14:textId="77777777" w:rsidR="00E70395" w:rsidRPr="004E71A8" w:rsidRDefault="00E70395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4E71A8">
              <w:rPr>
                <w:rFonts w:ascii="Calibri" w:eastAsia="Cambria" w:hAnsi="Calibri" w:cs="Times New Roman"/>
                <w:kern w:val="20"/>
                <w:lang w:eastAsia="cs-CZ"/>
              </w:rPr>
              <w:t>Daň z příjmů odložená</w:t>
            </w:r>
          </w:p>
        </w:tc>
        <w:tc>
          <w:tcPr>
            <w:tcW w:w="1247" w:type="dxa"/>
          </w:tcPr>
          <w:p w14:paraId="208E5E96" w14:textId="77777777" w:rsidR="00E70395" w:rsidRPr="0041298A" w:rsidRDefault="00E70395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- 1 205</w:t>
            </w:r>
          </w:p>
        </w:tc>
        <w:tc>
          <w:tcPr>
            <w:tcW w:w="1247" w:type="dxa"/>
          </w:tcPr>
          <w:p w14:paraId="10CF6069" w14:textId="77777777" w:rsidR="00E70395" w:rsidRPr="0041298A" w:rsidRDefault="00E70395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298A">
              <w:t>- </w:t>
            </w:r>
            <w:r>
              <w:t>841</w:t>
            </w:r>
          </w:p>
        </w:tc>
        <w:tc>
          <w:tcPr>
            <w:tcW w:w="1247" w:type="dxa"/>
          </w:tcPr>
          <w:p w14:paraId="7EB24D4B" w14:textId="77777777" w:rsidR="00E70395" w:rsidRPr="0041298A" w:rsidRDefault="00272F31" w:rsidP="00B266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1 757</w:t>
            </w:r>
          </w:p>
        </w:tc>
      </w:tr>
      <w:tr w:rsidR="00E70395" w:rsidRPr="0063239F" w14:paraId="1CA6915B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9" w:type="dxa"/>
          </w:tcPr>
          <w:p w14:paraId="1CB7A12E" w14:textId="77777777" w:rsidR="00E70395" w:rsidRPr="004E71A8" w:rsidRDefault="00E70395" w:rsidP="00FE062D">
            <w:pPr>
              <w:rPr>
                <w:rFonts w:eastAsia="Times New Roman"/>
                <w:bCs w:val="0"/>
                <w:kern w:val="20"/>
                <w:lang w:eastAsia="cs-CZ"/>
              </w:rPr>
            </w:pPr>
            <w:r w:rsidRPr="004E71A8"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Výsledek hospodaření po zdanění</w:t>
            </w:r>
          </w:p>
        </w:tc>
        <w:tc>
          <w:tcPr>
            <w:tcW w:w="1247" w:type="dxa"/>
          </w:tcPr>
          <w:p w14:paraId="4BAF2B4A" w14:textId="77777777" w:rsidR="00E70395" w:rsidRPr="0041298A" w:rsidRDefault="00E70395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- 1 643</w:t>
            </w:r>
          </w:p>
        </w:tc>
        <w:tc>
          <w:tcPr>
            <w:tcW w:w="1247" w:type="dxa"/>
          </w:tcPr>
          <w:p w14:paraId="1A1C9DF6" w14:textId="77777777" w:rsidR="00E70395" w:rsidRPr="0041298A" w:rsidRDefault="00E70395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Pr="0041298A">
              <w:rPr>
                <w:b/>
              </w:rPr>
              <w:t> </w:t>
            </w:r>
            <w:r>
              <w:rPr>
                <w:b/>
              </w:rPr>
              <w:t>900</w:t>
            </w:r>
          </w:p>
        </w:tc>
        <w:tc>
          <w:tcPr>
            <w:tcW w:w="1247" w:type="dxa"/>
          </w:tcPr>
          <w:p w14:paraId="56E4A54E" w14:textId="77777777" w:rsidR="00E70395" w:rsidRPr="0041298A" w:rsidRDefault="00272F31" w:rsidP="00B266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-20 923</w:t>
            </w:r>
          </w:p>
        </w:tc>
      </w:tr>
      <w:tr w:rsidR="00E70395" w:rsidRPr="0063239F" w14:paraId="01C465FA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9" w:type="dxa"/>
          </w:tcPr>
          <w:p w14:paraId="3D2318BD" w14:textId="77777777" w:rsidR="00E70395" w:rsidRPr="004E71A8" w:rsidRDefault="00E70395" w:rsidP="00FE062D">
            <w:pPr>
              <w:rPr>
                <w:rFonts w:eastAsia="Times New Roman"/>
                <w:b w:val="0"/>
                <w:bCs w:val="0"/>
                <w:kern w:val="20"/>
                <w:lang w:eastAsia="cs-CZ"/>
              </w:rPr>
            </w:pPr>
            <w:r w:rsidRPr="004E71A8"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Převod podílu na výsledku hospodaření spol</w:t>
            </w:r>
            <w:r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ečníkům</w:t>
            </w:r>
          </w:p>
        </w:tc>
        <w:tc>
          <w:tcPr>
            <w:tcW w:w="1247" w:type="dxa"/>
          </w:tcPr>
          <w:p w14:paraId="0678EBD9" w14:textId="77777777" w:rsidR="00E70395" w:rsidRPr="0041298A" w:rsidRDefault="00E70395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0</w:t>
            </w:r>
          </w:p>
        </w:tc>
        <w:tc>
          <w:tcPr>
            <w:tcW w:w="1247" w:type="dxa"/>
          </w:tcPr>
          <w:p w14:paraId="67FC877F" w14:textId="77777777" w:rsidR="00E70395" w:rsidRPr="0041298A" w:rsidRDefault="00E70395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0</w:t>
            </w:r>
          </w:p>
        </w:tc>
        <w:tc>
          <w:tcPr>
            <w:tcW w:w="1247" w:type="dxa"/>
          </w:tcPr>
          <w:p w14:paraId="5DE6FEA8" w14:textId="77777777" w:rsidR="00E70395" w:rsidRPr="0041298A" w:rsidRDefault="00E70395" w:rsidP="00FE062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0</w:t>
            </w:r>
          </w:p>
        </w:tc>
      </w:tr>
      <w:tr w:rsidR="00E70395" w:rsidRPr="0063239F" w14:paraId="035F6D8D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9" w:type="dxa"/>
          </w:tcPr>
          <w:p w14:paraId="6688CD5B" w14:textId="77777777" w:rsidR="00E70395" w:rsidRPr="004E71A8" w:rsidRDefault="00E70395" w:rsidP="00FE062D">
            <w:pPr>
              <w:rPr>
                <w:rFonts w:eastAsia="Times New Roman"/>
                <w:b w:val="0"/>
                <w:bCs w:val="0"/>
                <w:kern w:val="20"/>
                <w:lang w:eastAsia="cs-CZ"/>
              </w:rPr>
            </w:pPr>
            <w:r w:rsidRPr="004E71A8"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Výsledek hospodaření za účetní období</w:t>
            </w:r>
          </w:p>
        </w:tc>
        <w:tc>
          <w:tcPr>
            <w:tcW w:w="1247" w:type="dxa"/>
          </w:tcPr>
          <w:p w14:paraId="293B1C57" w14:textId="77777777" w:rsidR="00E70395" w:rsidRPr="0041298A" w:rsidRDefault="00E70395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- 1 643</w:t>
            </w:r>
          </w:p>
        </w:tc>
        <w:tc>
          <w:tcPr>
            <w:tcW w:w="1247" w:type="dxa"/>
          </w:tcPr>
          <w:p w14:paraId="5BBAFEE2" w14:textId="77777777" w:rsidR="00E70395" w:rsidRPr="0041298A" w:rsidRDefault="00E70395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Pr="0041298A">
              <w:rPr>
                <w:b/>
              </w:rPr>
              <w:t> </w:t>
            </w:r>
            <w:r>
              <w:rPr>
                <w:b/>
              </w:rPr>
              <w:t>900</w:t>
            </w:r>
          </w:p>
        </w:tc>
        <w:tc>
          <w:tcPr>
            <w:tcW w:w="1247" w:type="dxa"/>
          </w:tcPr>
          <w:p w14:paraId="2FD116AB" w14:textId="77777777" w:rsidR="00E70395" w:rsidRPr="0041298A" w:rsidRDefault="00272F31" w:rsidP="00B266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-20 923</w:t>
            </w:r>
          </w:p>
        </w:tc>
      </w:tr>
      <w:tr w:rsidR="00E70395" w:rsidRPr="0063239F" w14:paraId="25112B89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9" w:type="dxa"/>
          </w:tcPr>
          <w:p w14:paraId="7EFA5C03" w14:textId="77777777" w:rsidR="00E70395" w:rsidRPr="004E71A8" w:rsidRDefault="00E70395" w:rsidP="00FE062D">
            <w:pPr>
              <w:rPr>
                <w:rFonts w:eastAsia="Times New Roman"/>
                <w:b w:val="0"/>
                <w:bCs w:val="0"/>
                <w:kern w:val="20"/>
                <w:lang w:eastAsia="cs-CZ"/>
              </w:rPr>
            </w:pPr>
            <w:r w:rsidRPr="004E71A8">
              <w:rPr>
                <w:rFonts w:ascii="Calibri" w:eastAsia="Cambria" w:hAnsi="Calibri" w:cs="Times New Roman"/>
                <w:b w:val="0"/>
                <w:bCs w:val="0"/>
                <w:kern w:val="20"/>
                <w:lang w:eastAsia="cs-CZ"/>
              </w:rPr>
              <w:t>Čistý obrat za účetní období</w:t>
            </w:r>
          </w:p>
        </w:tc>
        <w:tc>
          <w:tcPr>
            <w:tcW w:w="1247" w:type="dxa"/>
          </w:tcPr>
          <w:p w14:paraId="65A8DC38" w14:textId="77777777" w:rsidR="00E70395" w:rsidRPr="0041298A" w:rsidRDefault="00E70395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159 295</w:t>
            </w:r>
          </w:p>
        </w:tc>
        <w:tc>
          <w:tcPr>
            <w:tcW w:w="1247" w:type="dxa"/>
          </w:tcPr>
          <w:p w14:paraId="1A15375F" w14:textId="77777777" w:rsidR="00E70395" w:rsidRPr="0041298A" w:rsidRDefault="00E70395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1</w:t>
            </w:r>
            <w:r>
              <w:rPr>
                <w:b/>
              </w:rPr>
              <w:t>45</w:t>
            </w:r>
            <w:r w:rsidRPr="0041298A">
              <w:rPr>
                <w:b/>
              </w:rPr>
              <w:t> </w:t>
            </w:r>
            <w:r>
              <w:rPr>
                <w:b/>
              </w:rPr>
              <w:t>953</w:t>
            </w:r>
          </w:p>
        </w:tc>
        <w:tc>
          <w:tcPr>
            <w:tcW w:w="1247" w:type="dxa"/>
          </w:tcPr>
          <w:p w14:paraId="3AFA07FC" w14:textId="77777777" w:rsidR="00E70395" w:rsidRPr="0041298A" w:rsidRDefault="00272F31" w:rsidP="00B266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136 615</w:t>
            </w:r>
          </w:p>
        </w:tc>
      </w:tr>
    </w:tbl>
    <w:p w14:paraId="1EBFEA35" w14:textId="77777777" w:rsidR="00FE062D" w:rsidRPr="00FE062D" w:rsidRDefault="00FE062D" w:rsidP="00FE062D"/>
    <w:p w14:paraId="4388B903" w14:textId="77777777" w:rsidR="000B1DA4" w:rsidRDefault="000B1DA4" w:rsidP="000B1DA4"/>
    <w:p w14:paraId="6F2E860C" w14:textId="77777777" w:rsidR="000B1DA4" w:rsidRDefault="000B1DA4">
      <w:r>
        <w:br w:type="page"/>
      </w:r>
    </w:p>
    <w:p w14:paraId="66D97205" w14:textId="77777777" w:rsidR="00D75937" w:rsidRPr="00F86634" w:rsidRDefault="00D75937" w:rsidP="00D75937">
      <w:pPr>
        <w:rPr>
          <w:color w:val="365F91" w:themeColor="accent1" w:themeShade="BF"/>
          <w:sz w:val="52"/>
          <w:szCs w:val="52"/>
        </w:rPr>
      </w:pPr>
      <w:r w:rsidRPr="00F86634">
        <w:rPr>
          <w:color w:val="365F91" w:themeColor="accent1" w:themeShade="BF"/>
          <w:sz w:val="52"/>
          <w:szCs w:val="52"/>
        </w:rPr>
        <w:lastRenderedPageBreak/>
        <w:t>FINANČNÍ VÝKAZY</w:t>
      </w:r>
    </w:p>
    <w:p w14:paraId="3EF806CE" w14:textId="77777777" w:rsidR="00D75937" w:rsidRPr="00344324" w:rsidRDefault="00D75937" w:rsidP="00D75937">
      <w:pPr>
        <w:pStyle w:val="Titulek"/>
        <w:keepNext/>
        <w:rPr>
          <w:color w:val="002060"/>
          <w:sz w:val="24"/>
          <w:szCs w:val="24"/>
        </w:rPr>
      </w:pPr>
      <w:r w:rsidRPr="00344324">
        <w:rPr>
          <w:color w:val="002060"/>
          <w:sz w:val="24"/>
          <w:szCs w:val="24"/>
        </w:rPr>
        <w:t>PŘEHLED O PENĚŽNÍCH TOCÍCH</w:t>
      </w:r>
    </w:p>
    <w:tbl>
      <w:tblPr>
        <w:tblStyle w:val="Svtlmkazvraznn1"/>
        <w:tblW w:w="8844" w:type="dxa"/>
        <w:tblLook w:val="04A0" w:firstRow="1" w:lastRow="0" w:firstColumn="1" w:lastColumn="0" w:noHBand="0" w:noVBand="1"/>
      </w:tblPr>
      <w:tblGrid>
        <w:gridCol w:w="5065"/>
        <w:gridCol w:w="1171"/>
        <w:gridCol w:w="1304"/>
        <w:gridCol w:w="1304"/>
      </w:tblGrid>
      <w:tr w:rsidR="008B2482" w:rsidRPr="00177CD3" w14:paraId="50A37159" w14:textId="77777777" w:rsidTr="00E33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  <w:vMerge w:val="restart"/>
          </w:tcPr>
          <w:p w14:paraId="4C29D045" w14:textId="77777777" w:rsidR="008B2482" w:rsidRPr="009C013F" w:rsidRDefault="008B2482" w:rsidP="00457920">
            <w:pPr>
              <w:ind w:left="-227" w:firstLine="227"/>
              <w:rPr>
                <w:b w:val="0"/>
              </w:rPr>
            </w:pPr>
            <w:r w:rsidRPr="009C013F">
              <w:rPr>
                <w:b w:val="0"/>
              </w:rPr>
              <w:t>Český porcelán, a. s.</w:t>
            </w:r>
          </w:p>
        </w:tc>
        <w:tc>
          <w:tcPr>
            <w:tcW w:w="1171" w:type="dxa"/>
          </w:tcPr>
          <w:p w14:paraId="7B27D32F" w14:textId="77777777" w:rsidR="008B2482" w:rsidRPr="00177CD3" w:rsidRDefault="008B2482" w:rsidP="00222E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7CD3">
              <w:rPr>
                <w:b w:val="0"/>
              </w:rPr>
              <w:t>201</w:t>
            </w:r>
            <w:r>
              <w:rPr>
                <w:b w:val="0"/>
              </w:rPr>
              <w:t>7</w:t>
            </w:r>
          </w:p>
        </w:tc>
        <w:tc>
          <w:tcPr>
            <w:tcW w:w="1304" w:type="dxa"/>
          </w:tcPr>
          <w:p w14:paraId="41DDB666" w14:textId="77777777" w:rsidR="008B2482" w:rsidRPr="00177CD3" w:rsidRDefault="008B2482" w:rsidP="00222E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7CD3">
              <w:rPr>
                <w:b w:val="0"/>
              </w:rPr>
              <w:t>201</w:t>
            </w:r>
            <w:r>
              <w:rPr>
                <w:b w:val="0"/>
              </w:rPr>
              <w:t>8</w:t>
            </w:r>
          </w:p>
        </w:tc>
        <w:tc>
          <w:tcPr>
            <w:tcW w:w="1304" w:type="dxa"/>
          </w:tcPr>
          <w:p w14:paraId="71AB3880" w14:textId="77777777" w:rsidR="008B2482" w:rsidRPr="00177CD3" w:rsidRDefault="008B2482" w:rsidP="008B248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7CD3">
              <w:rPr>
                <w:b w:val="0"/>
              </w:rPr>
              <w:t>201</w:t>
            </w:r>
            <w:r>
              <w:rPr>
                <w:b w:val="0"/>
              </w:rPr>
              <w:t>9</w:t>
            </w:r>
          </w:p>
        </w:tc>
      </w:tr>
      <w:tr w:rsidR="008B2482" w14:paraId="516D0C0C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  <w:vMerge/>
          </w:tcPr>
          <w:p w14:paraId="29403E12" w14:textId="77777777" w:rsidR="008B2482" w:rsidRPr="009C013F" w:rsidRDefault="008B2482" w:rsidP="00457920">
            <w:pPr>
              <w:rPr>
                <w:b w:val="0"/>
              </w:rPr>
            </w:pPr>
          </w:p>
        </w:tc>
        <w:tc>
          <w:tcPr>
            <w:tcW w:w="1171" w:type="dxa"/>
          </w:tcPr>
          <w:p w14:paraId="209A111B" w14:textId="77777777" w:rsidR="008B2482" w:rsidRDefault="008B2482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tis. Kč</w:t>
            </w:r>
          </w:p>
        </w:tc>
        <w:tc>
          <w:tcPr>
            <w:tcW w:w="1304" w:type="dxa"/>
          </w:tcPr>
          <w:p w14:paraId="518F071C" w14:textId="77777777" w:rsidR="008B2482" w:rsidRDefault="008B2482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tis. Kč</w:t>
            </w:r>
          </w:p>
        </w:tc>
        <w:tc>
          <w:tcPr>
            <w:tcW w:w="1304" w:type="dxa"/>
          </w:tcPr>
          <w:p w14:paraId="77108FE4" w14:textId="77777777" w:rsidR="008B2482" w:rsidRDefault="008B2482" w:rsidP="004579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tis. Kč</w:t>
            </w:r>
          </w:p>
        </w:tc>
      </w:tr>
      <w:tr w:rsidR="008B2482" w:rsidRPr="0063239F" w14:paraId="79A0CBBB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14:paraId="5F7409B1" w14:textId="77777777" w:rsidR="008B2482" w:rsidRPr="009C63B3" w:rsidRDefault="008B2482" w:rsidP="00457920">
            <w:pPr>
              <w:rPr>
                <w:b w:val="0"/>
              </w:rPr>
            </w:pPr>
            <w:r w:rsidRPr="009C63B3">
              <w:rPr>
                <w:rFonts w:ascii="Calibri" w:eastAsia="Times New Roman" w:hAnsi="Calibri"/>
                <w:b w:val="0"/>
                <w:bCs w:val="0"/>
                <w:kern w:val="20"/>
                <w:lang w:eastAsia="cs-CZ"/>
              </w:rPr>
              <w:t>Stav peněžních prostředků na začátku účetního období</w:t>
            </w:r>
          </w:p>
        </w:tc>
        <w:tc>
          <w:tcPr>
            <w:tcW w:w="1171" w:type="dxa"/>
          </w:tcPr>
          <w:p w14:paraId="01A4A345" w14:textId="77777777" w:rsidR="008B2482" w:rsidRPr="002E0EE8" w:rsidRDefault="008B2482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E0EE8">
              <w:rPr>
                <w:b/>
              </w:rPr>
              <w:t>25 310</w:t>
            </w:r>
          </w:p>
        </w:tc>
        <w:tc>
          <w:tcPr>
            <w:tcW w:w="1304" w:type="dxa"/>
          </w:tcPr>
          <w:p w14:paraId="24184AFC" w14:textId="77777777" w:rsidR="008B2482" w:rsidRPr="002E0EE8" w:rsidRDefault="008B2482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E0EE8">
              <w:rPr>
                <w:b/>
              </w:rPr>
              <w:t>2</w:t>
            </w:r>
            <w:r>
              <w:rPr>
                <w:b/>
              </w:rPr>
              <w:t>8</w:t>
            </w:r>
            <w:r w:rsidRPr="002E0EE8">
              <w:rPr>
                <w:b/>
              </w:rPr>
              <w:t xml:space="preserve"> </w:t>
            </w:r>
            <w:r>
              <w:rPr>
                <w:b/>
              </w:rPr>
              <w:t>453</w:t>
            </w:r>
          </w:p>
        </w:tc>
        <w:tc>
          <w:tcPr>
            <w:tcW w:w="1304" w:type="dxa"/>
          </w:tcPr>
          <w:p w14:paraId="530172E0" w14:textId="77777777" w:rsidR="008B2482" w:rsidRPr="002E0EE8" w:rsidRDefault="008B2482" w:rsidP="00B266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24 265</w:t>
            </w:r>
          </w:p>
        </w:tc>
      </w:tr>
      <w:tr w:rsidR="008B2482" w:rsidRPr="0063239F" w14:paraId="3998B95A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14:paraId="28B4D10D" w14:textId="77777777" w:rsidR="008B2482" w:rsidRPr="009C63B3" w:rsidRDefault="008B2482" w:rsidP="00457920">
            <w:pPr>
              <w:rPr>
                <w:b w:val="0"/>
              </w:rPr>
            </w:pPr>
            <w:r w:rsidRPr="009C63B3">
              <w:rPr>
                <w:rFonts w:ascii="Calibri" w:eastAsia="Times New Roman" w:hAnsi="Calibri"/>
                <w:b w:val="0"/>
                <w:bCs w:val="0"/>
                <w:kern w:val="20"/>
                <w:lang w:eastAsia="cs-CZ"/>
              </w:rPr>
              <w:t>Účetní hospodářský výsledek</w:t>
            </w:r>
          </w:p>
        </w:tc>
        <w:tc>
          <w:tcPr>
            <w:tcW w:w="1171" w:type="dxa"/>
          </w:tcPr>
          <w:p w14:paraId="3BC4ACF9" w14:textId="77777777" w:rsidR="008B2482" w:rsidRPr="002E0EE8" w:rsidRDefault="008B2482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</w:t>
            </w:r>
            <w:r w:rsidRPr="002E0EE8">
              <w:rPr>
                <w:b/>
              </w:rPr>
              <w:t xml:space="preserve"> 848</w:t>
            </w:r>
          </w:p>
        </w:tc>
        <w:tc>
          <w:tcPr>
            <w:tcW w:w="1304" w:type="dxa"/>
          </w:tcPr>
          <w:p w14:paraId="032CB0B7" w14:textId="77777777" w:rsidR="008B2482" w:rsidRPr="002E0EE8" w:rsidRDefault="008B2482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Pr="002E0EE8">
              <w:rPr>
                <w:b/>
              </w:rPr>
              <w:t xml:space="preserve"> </w:t>
            </w:r>
            <w:r>
              <w:rPr>
                <w:b/>
              </w:rPr>
              <w:t>059</w:t>
            </w:r>
          </w:p>
        </w:tc>
        <w:tc>
          <w:tcPr>
            <w:tcW w:w="1304" w:type="dxa"/>
          </w:tcPr>
          <w:p w14:paraId="6484114E" w14:textId="77777777" w:rsidR="008B2482" w:rsidRPr="00852925" w:rsidRDefault="008B2482" w:rsidP="00083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52925">
              <w:rPr>
                <w:b/>
              </w:rPr>
              <w:t>-19 16</w:t>
            </w:r>
            <w:r w:rsidR="00083372">
              <w:rPr>
                <w:b/>
              </w:rPr>
              <w:t>7</w:t>
            </w:r>
          </w:p>
        </w:tc>
      </w:tr>
      <w:tr w:rsidR="008B2482" w:rsidRPr="0063239F" w14:paraId="6A50704E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14:paraId="330B7E46" w14:textId="77777777" w:rsidR="008B2482" w:rsidRPr="009C63B3" w:rsidRDefault="008B2482" w:rsidP="00457920">
            <w:pPr>
              <w:rPr>
                <w:b w:val="0"/>
              </w:rPr>
            </w:pPr>
            <w:r w:rsidRPr="009C63B3">
              <w:rPr>
                <w:rFonts w:ascii="Calibri" w:eastAsia="Times New Roman" w:hAnsi="Calibri"/>
                <w:b w:val="0"/>
                <w:bCs w:val="0"/>
                <w:kern w:val="20"/>
                <w:lang w:eastAsia="cs-CZ"/>
              </w:rPr>
              <w:t>Odpisy</w:t>
            </w:r>
          </w:p>
        </w:tc>
        <w:tc>
          <w:tcPr>
            <w:tcW w:w="1171" w:type="dxa"/>
          </w:tcPr>
          <w:p w14:paraId="5AF80F55" w14:textId="77777777" w:rsidR="008B2482" w:rsidRPr="00D9645F" w:rsidRDefault="008B2482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9645F">
              <w:rPr>
                <w:b/>
              </w:rPr>
              <w:t>8 626</w:t>
            </w:r>
          </w:p>
        </w:tc>
        <w:tc>
          <w:tcPr>
            <w:tcW w:w="1304" w:type="dxa"/>
          </w:tcPr>
          <w:p w14:paraId="797109CA" w14:textId="77777777" w:rsidR="008B2482" w:rsidRPr="00D9645F" w:rsidRDefault="008B2482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9645F">
              <w:rPr>
                <w:b/>
              </w:rPr>
              <w:t>8 6</w:t>
            </w:r>
            <w:r>
              <w:rPr>
                <w:b/>
              </w:rPr>
              <w:t>67</w:t>
            </w:r>
          </w:p>
        </w:tc>
        <w:tc>
          <w:tcPr>
            <w:tcW w:w="1304" w:type="dxa"/>
          </w:tcPr>
          <w:p w14:paraId="00918964" w14:textId="77777777" w:rsidR="008B2482" w:rsidRPr="00852925" w:rsidRDefault="009C5C3B" w:rsidP="00B266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52925">
              <w:rPr>
                <w:b/>
              </w:rPr>
              <w:t>8 135</w:t>
            </w:r>
          </w:p>
        </w:tc>
      </w:tr>
      <w:tr w:rsidR="008B2482" w:rsidRPr="0063239F" w14:paraId="1247A05B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14:paraId="2AF15C45" w14:textId="77777777" w:rsidR="008B2482" w:rsidRPr="009C63B3" w:rsidRDefault="008B2482" w:rsidP="00457920">
            <w:r w:rsidRPr="009C63B3">
              <w:rPr>
                <w:rFonts w:ascii="Calibri" w:eastAsia="Times New Roman" w:hAnsi="Calibri"/>
                <w:b w:val="0"/>
                <w:bCs w:val="0"/>
                <w:kern w:val="20"/>
                <w:lang w:eastAsia="cs-CZ"/>
              </w:rPr>
              <w:t>Změna stavu rezerv a opravných položek</w:t>
            </w:r>
          </w:p>
        </w:tc>
        <w:tc>
          <w:tcPr>
            <w:tcW w:w="1171" w:type="dxa"/>
          </w:tcPr>
          <w:p w14:paraId="086D92A5" w14:textId="77777777" w:rsidR="008B2482" w:rsidRPr="0041298A" w:rsidRDefault="008B2482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- 64</w:t>
            </w:r>
          </w:p>
        </w:tc>
        <w:tc>
          <w:tcPr>
            <w:tcW w:w="1304" w:type="dxa"/>
          </w:tcPr>
          <w:p w14:paraId="6E9F73AB" w14:textId="77777777" w:rsidR="008B2482" w:rsidRPr="0041298A" w:rsidRDefault="008B2482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5 306</w:t>
            </w:r>
          </w:p>
        </w:tc>
        <w:tc>
          <w:tcPr>
            <w:tcW w:w="1304" w:type="dxa"/>
          </w:tcPr>
          <w:p w14:paraId="76255C02" w14:textId="77777777" w:rsidR="008B2482" w:rsidRPr="00852925" w:rsidRDefault="009C5C3B" w:rsidP="003937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52925">
              <w:rPr>
                <w:b/>
              </w:rPr>
              <w:t>2 9</w:t>
            </w:r>
            <w:r w:rsidR="00393734">
              <w:rPr>
                <w:b/>
              </w:rPr>
              <w:t>21</w:t>
            </w:r>
          </w:p>
        </w:tc>
      </w:tr>
      <w:tr w:rsidR="008B2482" w:rsidRPr="0063239F" w14:paraId="58F2EF45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14:paraId="60DF7EA0" w14:textId="77777777" w:rsidR="008B2482" w:rsidRPr="009C63B3" w:rsidRDefault="008B2482" w:rsidP="00457920">
            <w:r w:rsidRPr="009C63B3">
              <w:rPr>
                <w:rFonts w:ascii="Calibri" w:eastAsia="Times New Roman" w:hAnsi="Calibri"/>
                <w:b w:val="0"/>
                <w:bCs w:val="0"/>
                <w:kern w:val="20"/>
                <w:lang w:eastAsia="cs-CZ"/>
              </w:rPr>
              <w:t>Ostatní nepeněžní operace</w:t>
            </w:r>
          </w:p>
        </w:tc>
        <w:tc>
          <w:tcPr>
            <w:tcW w:w="1171" w:type="dxa"/>
          </w:tcPr>
          <w:p w14:paraId="7909A979" w14:textId="77777777" w:rsidR="008B2482" w:rsidRPr="0041298A" w:rsidRDefault="008B2482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272</w:t>
            </w:r>
          </w:p>
        </w:tc>
        <w:tc>
          <w:tcPr>
            <w:tcW w:w="1304" w:type="dxa"/>
          </w:tcPr>
          <w:p w14:paraId="02B76FA3" w14:textId="77777777" w:rsidR="008B2482" w:rsidRPr="009F6D15" w:rsidRDefault="008B2482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F6D15">
              <w:rPr>
                <w:b/>
              </w:rPr>
              <w:t>-608</w:t>
            </w:r>
          </w:p>
        </w:tc>
        <w:tc>
          <w:tcPr>
            <w:tcW w:w="1304" w:type="dxa"/>
          </w:tcPr>
          <w:p w14:paraId="52426A40" w14:textId="77777777" w:rsidR="008B2482" w:rsidRPr="00852925" w:rsidRDefault="008B2482" w:rsidP="009C5C3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52925">
              <w:rPr>
                <w:b/>
              </w:rPr>
              <w:t>-</w:t>
            </w:r>
            <w:r w:rsidR="009C5C3B" w:rsidRPr="00852925">
              <w:rPr>
                <w:b/>
              </w:rPr>
              <w:t>184</w:t>
            </w:r>
          </w:p>
        </w:tc>
      </w:tr>
      <w:tr w:rsidR="008B2482" w:rsidRPr="0063239F" w14:paraId="2637413E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14:paraId="7AD2089F" w14:textId="77777777" w:rsidR="008B2482" w:rsidRPr="009C63B3" w:rsidRDefault="008B2482" w:rsidP="00457920">
            <w:r w:rsidRPr="009C63B3">
              <w:rPr>
                <w:rFonts w:ascii="Calibri" w:eastAsia="Times New Roman" w:hAnsi="Calibri"/>
                <w:b w:val="0"/>
                <w:bCs w:val="0"/>
                <w:kern w:val="20"/>
                <w:lang w:eastAsia="cs-CZ"/>
              </w:rPr>
              <w:t>Změna stavu pohledávek</w:t>
            </w:r>
          </w:p>
        </w:tc>
        <w:tc>
          <w:tcPr>
            <w:tcW w:w="1171" w:type="dxa"/>
          </w:tcPr>
          <w:p w14:paraId="66A1C4CE" w14:textId="77777777" w:rsidR="008B2482" w:rsidRPr="0041298A" w:rsidRDefault="008B2482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-1 066</w:t>
            </w:r>
          </w:p>
        </w:tc>
        <w:tc>
          <w:tcPr>
            <w:tcW w:w="1304" w:type="dxa"/>
          </w:tcPr>
          <w:p w14:paraId="6707F537" w14:textId="77777777" w:rsidR="008B2482" w:rsidRPr="009F6D15" w:rsidRDefault="008B2482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F6D15">
              <w:rPr>
                <w:b/>
              </w:rPr>
              <w:t>4 599</w:t>
            </w:r>
          </w:p>
        </w:tc>
        <w:tc>
          <w:tcPr>
            <w:tcW w:w="1304" w:type="dxa"/>
          </w:tcPr>
          <w:p w14:paraId="37572BC7" w14:textId="77777777" w:rsidR="008B2482" w:rsidRPr="00852925" w:rsidRDefault="009C5C3B" w:rsidP="00DE6D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52925">
              <w:rPr>
                <w:b/>
              </w:rPr>
              <w:t>2 200</w:t>
            </w:r>
          </w:p>
        </w:tc>
      </w:tr>
      <w:tr w:rsidR="008B2482" w:rsidRPr="0063239F" w14:paraId="381AFBD5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14:paraId="30CEBA18" w14:textId="77777777" w:rsidR="008B2482" w:rsidRPr="009C63B3" w:rsidRDefault="008B2482" w:rsidP="00457920">
            <w:r w:rsidRPr="009C63B3">
              <w:rPr>
                <w:rFonts w:ascii="Calibri" w:eastAsia="Times New Roman" w:hAnsi="Calibri"/>
                <w:b w:val="0"/>
                <w:bCs w:val="0"/>
                <w:kern w:val="20"/>
                <w:lang w:eastAsia="cs-CZ"/>
              </w:rPr>
              <w:t>Změna stavu krátkodobých závazků</w:t>
            </w:r>
          </w:p>
        </w:tc>
        <w:tc>
          <w:tcPr>
            <w:tcW w:w="1171" w:type="dxa"/>
          </w:tcPr>
          <w:p w14:paraId="05C60B01" w14:textId="77777777" w:rsidR="008B2482" w:rsidRPr="0041298A" w:rsidRDefault="008B2482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1 259</w:t>
            </w:r>
          </w:p>
        </w:tc>
        <w:tc>
          <w:tcPr>
            <w:tcW w:w="1304" w:type="dxa"/>
          </w:tcPr>
          <w:p w14:paraId="19A0E880" w14:textId="77777777" w:rsidR="008B2482" w:rsidRPr="0041298A" w:rsidRDefault="008B2482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Pr="0041298A">
              <w:rPr>
                <w:b/>
              </w:rPr>
              <w:t>1 2</w:t>
            </w:r>
            <w:r>
              <w:rPr>
                <w:b/>
              </w:rPr>
              <w:t>30</w:t>
            </w:r>
          </w:p>
        </w:tc>
        <w:tc>
          <w:tcPr>
            <w:tcW w:w="1304" w:type="dxa"/>
          </w:tcPr>
          <w:p w14:paraId="4D0446BF" w14:textId="77777777" w:rsidR="008B2482" w:rsidRPr="00852925" w:rsidRDefault="00150C31" w:rsidP="0090662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52925">
              <w:rPr>
                <w:b/>
              </w:rPr>
              <w:t>824</w:t>
            </w:r>
          </w:p>
        </w:tc>
      </w:tr>
      <w:tr w:rsidR="008B2482" w:rsidRPr="0063239F" w14:paraId="39587CF9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14:paraId="7E3BEA2D" w14:textId="77777777" w:rsidR="008B2482" w:rsidRPr="009C63B3" w:rsidRDefault="008B2482" w:rsidP="00457920">
            <w:r w:rsidRPr="009C63B3">
              <w:rPr>
                <w:rFonts w:ascii="Calibri" w:eastAsia="Times New Roman" w:hAnsi="Calibri"/>
                <w:b w:val="0"/>
                <w:bCs w:val="0"/>
                <w:kern w:val="20"/>
                <w:lang w:eastAsia="cs-CZ"/>
              </w:rPr>
              <w:t>Změna stavu zásob</w:t>
            </w:r>
          </w:p>
        </w:tc>
        <w:tc>
          <w:tcPr>
            <w:tcW w:w="1171" w:type="dxa"/>
          </w:tcPr>
          <w:p w14:paraId="5B93AB58" w14:textId="77777777" w:rsidR="008B2482" w:rsidRPr="0041298A" w:rsidRDefault="008B2482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209</w:t>
            </w:r>
          </w:p>
        </w:tc>
        <w:tc>
          <w:tcPr>
            <w:tcW w:w="1304" w:type="dxa"/>
          </w:tcPr>
          <w:p w14:paraId="4B21377E" w14:textId="77777777" w:rsidR="008B2482" w:rsidRPr="0041298A" w:rsidRDefault="008B2482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-22 973</w:t>
            </w:r>
          </w:p>
        </w:tc>
        <w:tc>
          <w:tcPr>
            <w:tcW w:w="1304" w:type="dxa"/>
          </w:tcPr>
          <w:p w14:paraId="545AC586" w14:textId="77777777" w:rsidR="008B2482" w:rsidRPr="00852925" w:rsidRDefault="00150C31" w:rsidP="004579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52925">
              <w:rPr>
                <w:b/>
              </w:rPr>
              <w:t>-3 915</w:t>
            </w:r>
          </w:p>
        </w:tc>
      </w:tr>
      <w:tr w:rsidR="00901DDD" w:rsidRPr="00901DDD" w14:paraId="45C0CC64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14:paraId="12BF2763" w14:textId="77777777" w:rsidR="008B2482" w:rsidRPr="009C63B3" w:rsidRDefault="008B2482" w:rsidP="00457920">
            <w:r w:rsidRPr="009C63B3">
              <w:rPr>
                <w:rFonts w:ascii="Calibri" w:eastAsia="Times New Roman" w:hAnsi="Calibri"/>
                <w:b w:val="0"/>
                <w:bCs w:val="0"/>
                <w:kern w:val="20"/>
                <w:lang w:eastAsia="cs-CZ"/>
              </w:rPr>
              <w:t>Peněžní tok z provozní činnosti</w:t>
            </w:r>
          </w:p>
        </w:tc>
        <w:tc>
          <w:tcPr>
            <w:tcW w:w="1171" w:type="dxa"/>
          </w:tcPr>
          <w:p w14:paraId="4A56CD04" w14:textId="77777777" w:rsidR="008B2482" w:rsidRPr="0041298A" w:rsidRDefault="008B2482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98A">
              <w:rPr>
                <w:b/>
              </w:rPr>
              <w:t>6 388</w:t>
            </w:r>
          </w:p>
        </w:tc>
        <w:tc>
          <w:tcPr>
            <w:tcW w:w="1304" w:type="dxa"/>
          </w:tcPr>
          <w:p w14:paraId="7F03FA4D" w14:textId="77777777" w:rsidR="008B2482" w:rsidRPr="0041298A" w:rsidRDefault="008B2482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-3 180</w:t>
            </w:r>
          </w:p>
        </w:tc>
        <w:tc>
          <w:tcPr>
            <w:tcW w:w="1304" w:type="dxa"/>
          </w:tcPr>
          <w:p w14:paraId="56A652BC" w14:textId="77777777" w:rsidR="008B2482" w:rsidRPr="00852925" w:rsidRDefault="00990026" w:rsidP="00901DD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52925">
              <w:rPr>
                <w:b/>
              </w:rPr>
              <w:t>-</w:t>
            </w:r>
            <w:r w:rsidR="00901DDD" w:rsidRPr="00852925">
              <w:rPr>
                <w:b/>
              </w:rPr>
              <w:t>9 186</w:t>
            </w:r>
          </w:p>
        </w:tc>
      </w:tr>
      <w:tr w:rsidR="008B2482" w:rsidRPr="0063239F" w14:paraId="40874816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14:paraId="106DE6DB" w14:textId="77777777" w:rsidR="008B2482" w:rsidRPr="00852925" w:rsidRDefault="008B2482" w:rsidP="00457920">
            <w:pPr>
              <w:rPr>
                <w:b w:val="0"/>
              </w:rPr>
            </w:pPr>
            <w:r w:rsidRPr="00852925">
              <w:rPr>
                <w:rFonts w:ascii="Calibri" w:eastAsia="Times New Roman" w:hAnsi="Calibri"/>
                <w:b w:val="0"/>
                <w:bCs w:val="0"/>
                <w:kern w:val="20"/>
                <w:lang w:eastAsia="cs-CZ"/>
              </w:rPr>
              <w:t>Peněžní tok z investiční činnosti</w:t>
            </w:r>
          </w:p>
        </w:tc>
        <w:tc>
          <w:tcPr>
            <w:tcW w:w="1171" w:type="dxa"/>
          </w:tcPr>
          <w:p w14:paraId="633E20D2" w14:textId="77777777" w:rsidR="008B2482" w:rsidRPr="00852925" w:rsidRDefault="008B2482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52925">
              <w:rPr>
                <w:b/>
              </w:rPr>
              <w:t>-3 586</w:t>
            </w:r>
          </w:p>
        </w:tc>
        <w:tc>
          <w:tcPr>
            <w:tcW w:w="1304" w:type="dxa"/>
          </w:tcPr>
          <w:p w14:paraId="617DFA25" w14:textId="77777777" w:rsidR="008B2482" w:rsidRPr="00852925" w:rsidRDefault="008B2482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52925">
              <w:rPr>
                <w:b/>
              </w:rPr>
              <w:t>259</w:t>
            </w:r>
          </w:p>
        </w:tc>
        <w:tc>
          <w:tcPr>
            <w:tcW w:w="1304" w:type="dxa"/>
          </w:tcPr>
          <w:p w14:paraId="38F23FD3" w14:textId="77777777" w:rsidR="008B2482" w:rsidRPr="00852925" w:rsidRDefault="00901DDD" w:rsidP="009F6D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52925">
              <w:rPr>
                <w:b/>
              </w:rPr>
              <w:t>-1 725</w:t>
            </w:r>
          </w:p>
        </w:tc>
      </w:tr>
      <w:tr w:rsidR="008B2482" w:rsidRPr="0063239F" w14:paraId="700A7FE2" w14:textId="77777777" w:rsidTr="00E33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14:paraId="20E543F1" w14:textId="77777777" w:rsidR="008B2482" w:rsidRPr="009C63B3" w:rsidRDefault="008B2482" w:rsidP="00457920">
            <w:r w:rsidRPr="009C63B3">
              <w:rPr>
                <w:rFonts w:ascii="Calibri" w:eastAsia="Times New Roman" w:hAnsi="Calibri"/>
                <w:b w:val="0"/>
                <w:bCs w:val="0"/>
                <w:kern w:val="20"/>
                <w:lang w:eastAsia="cs-CZ"/>
              </w:rPr>
              <w:t>Peněžní tok z finanční činnosti</w:t>
            </w:r>
          </w:p>
        </w:tc>
        <w:tc>
          <w:tcPr>
            <w:tcW w:w="1171" w:type="dxa"/>
          </w:tcPr>
          <w:p w14:paraId="166C4720" w14:textId="77777777" w:rsidR="008B2482" w:rsidRPr="00D27601" w:rsidRDefault="008B2482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27601">
              <w:rPr>
                <w:b/>
              </w:rPr>
              <w:t>341</w:t>
            </w:r>
          </w:p>
        </w:tc>
        <w:tc>
          <w:tcPr>
            <w:tcW w:w="1304" w:type="dxa"/>
          </w:tcPr>
          <w:p w14:paraId="52F1508B" w14:textId="77777777" w:rsidR="008B2482" w:rsidRPr="00D27601" w:rsidRDefault="008B2482" w:rsidP="00222E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-1 267</w:t>
            </w:r>
          </w:p>
        </w:tc>
        <w:tc>
          <w:tcPr>
            <w:tcW w:w="1304" w:type="dxa"/>
          </w:tcPr>
          <w:p w14:paraId="0EABCE00" w14:textId="77777777" w:rsidR="008B2482" w:rsidRPr="00D27601" w:rsidRDefault="00990026" w:rsidP="0099002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-1 321</w:t>
            </w:r>
          </w:p>
        </w:tc>
      </w:tr>
      <w:tr w:rsidR="008B2482" w:rsidRPr="0063239F" w14:paraId="53D13020" w14:textId="77777777" w:rsidTr="00E3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14:paraId="5DD8EF8B" w14:textId="77777777" w:rsidR="008B2482" w:rsidRDefault="008B2482" w:rsidP="009C63B3">
            <w:pPr>
              <w:rPr>
                <w:rFonts w:ascii="Calibri" w:eastAsia="Times New Roman" w:hAnsi="Calibri"/>
                <w:b w:val="0"/>
                <w:bCs w:val="0"/>
                <w:kern w:val="20"/>
                <w:lang w:eastAsia="cs-CZ"/>
              </w:rPr>
            </w:pPr>
            <w:r w:rsidRPr="009C63B3">
              <w:rPr>
                <w:rFonts w:ascii="Calibri" w:eastAsia="Times New Roman" w:hAnsi="Calibri"/>
                <w:b w:val="0"/>
                <w:bCs w:val="0"/>
                <w:kern w:val="20"/>
                <w:lang w:eastAsia="cs-CZ"/>
              </w:rPr>
              <w:t xml:space="preserve">Stav peněžních prostředků na konci </w:t>
            </w:r>
          </w:p>
          <w:p w14:paraId="666A9DCE" w14:textId="77777777" w:rsidR="008B2482" w:rsidRPr="009C63B3" w:rsidRDefault="008B2482" w:rsidP="009C63B3">
            <w:pPr>
              <w:rPr>
                <w:rFonts w:ascii="Calibri" w:eastAsia="Times New Roman" w:hAnsi="Calibri"/>
                <w:bCs w:val="0"/>
                <w:kern w:val="20"/>
                <w:lang w:eastAsia="cs-CZ"/>
              </w:rPr>
            </w:pPr>
            <w:r w:rsidRPr="009C63B3">
              <w:rPr>
                <w:rFonts w:ascii="Calibri" w:eastAsia="Times New Roman" w:hAnsi="Calibri"/>
                <w:b w:val="0"/>
                <w:bCs w:val="0"/>
                <w:kern w:val="20"/>
                <w:lang w:eastAsia="cs-CZ"/>
              </w:rPr>
              <w:t>účetního období</w:t>
            </w:r>
          </w:p>
        </w:tc>
        <w:tc>
          <w:tcPr>
            <w:tcW w:w="1171" w:type="dxa"/>
          </w:tcPr>
          <w:p w14:paraId="2334E0C6" w14:textId="77777777" w:rsidR="008B2482" w:rsidRPr="00D27601" w:rsidRDefault="008B2482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7601">
              <w:rPr>
                <w:b/>
              </w:rPr>
              <w:t>28 453</w:t>
            </w:r>
          </w:p>
        </w:tc>
        <w:tc>
          <w:tcPr>
            <w:tcW w:w="1304" w:type="dxa"/>
          </w:tcPr>
          <w:p w14:paraId="3E9FC5DA" w14:textId="77777777" w:rsidR="008B2482" w:rsidRPr="00D27601" w:rsidRDefault="008B2482" w:rsidP="00222E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7601">
              <w:rPr>
                <w:b/>
              </w:rPr>
              <w:t>2</w:t>
            </w:r>
            <w:r>
              <w:rPr>
                <w:b/>
              </w:rPr>
              <w:t>4</w:t>
            </w:r>
            <w:r w:rsidRPr="00D27601">
              <w:rPr>
                <w:b/>
              </w:rPr>
              <w:t xml:space="preserve"> </w:t>
            </w:r>
            <w:r>
              <w:rPr>
                <w:b/>
              </w:rPr>
              <w:t>265</w:t>
            </w:r>
          </w:p>
        </w:tc>
        <w:tc>
          <w:tcPr>
            <w:tcW w:w="1304" w:type="dxa"/>
          </w:tcPr>
          <w:p w14:paraId="1275FF56" w14:textId="77777777" w:rsidR="008B2482" w:rsidRPr="00D27601" w:rsidRDefault="00D75A9D" w:rsidP="009066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12 033</w:t>
            </w:r>
          </w:p>
        </w:tc>
      </w:tr>
    </w:tbl>
    <w:p w14:paraId="1B302A12" w14:textId="77777777" w:rsidR="004E71A8" w:rsidRPr="004E71A8" w:rsidRDefault="004E71A8" w:rsidP="004E71A8"/>
    <w:p w14:paraId="21CAC457" w14:textId="77777777" w:rsidR="00D75937" w:rsidRDefault="00D75937">
      <w:r>
        <w:br w:type="page"/>
      </w:r>
    </w:p>
    <w:p w14:paraId="7ADB023D" w14:textId="77777777" w:rsidR="000B1DA4" w:rsidRPr="00F86634" w:rsidRDefault="000B1DA4" w:rsidP="000B1DA4">
      <w:pPr>
        <w:rPr>
          <w:color w:val="365F91" w:themeColor="accent1" w:themeShade="BF"/>
          <w:sz w:val="52"/>
          <w:szCs w:val="52"/>
        </w:rPr>
      </w:pPr>
      <w:r w:rsidRPr="00F86634">
        <w:rPr>
          <w:color w:val="365F91" w:themeColor="accent1" w:themeShade="BF"/>
          <w:sz w:val="52"/>
          <w:szCs w:val="52"/>
        </w:rPr>
        <w:lastRenderedPageBreak/>
        <w:t>FINANČNÍ VÝKAZY</w:t>
      </w:r>
    </w:p>
    <w:p w14:paraId="3EF1C6AF" w14:textId="77777777" w:rsidR="000B1DA4" w:rsidRPr="000B1DA4" w:rsidRDefault="000B1DA4" w:rsidP="000B1DA4"/>
    <w:p w14:paraId="5C601066" w14:textId="77777777" w:rsidR="0041298A" w:rsidRPr="00083372" w:rsidRDefault="0041298A" w:rsidP="0041298A">
      <w:pPr>
        <w:rPr>
          <w:b/>
          <w:sz w:val="26"/>
          <w:szCs w:val="26"/>
        </w:rPr>
      </w:pPr>
      <w:r w:rsidRPr="00083372">
        <w:rPr>
          <w:b/>
          <w:sz w:val="26"/>
          <w:szCs w:val="26"/>
        </w:rPr>
        <w:t>Ekonomika rok 201</w:t>
      </w:r>
      <w:r w:rsidR="00EE1B9E" w:rsidRPr="00083372">
        <w:rPr>
          <w:b/>
          <w:sz w:val="26"/>
          <w:szCs w:val="26"/>
        </w:rPr>
        <w:t>9</w:t>
      </w:r>
    </w:p>
    <w:p w14:paraId="6C61F750" w14:textId="77777777" w:rsidR="00EE1B9E" w:rsidRPr="00083372" w:rsidRDefault="00EE1B9E" w:rsidP="00EE1B9E">
      <w:pPr>
        <w:jc w:val="both"/>
        <w:rPr>
          <w:sz w:val="26"/>
          <w:szCs w:val="26"/>
        </w:rPr>
      </w:pPr>
      <w:r w:rsidRPr="00083372">
        <w:rPr>
          <w:sz w:val="26"/>
          <w:szCs w:val="26"/>
        </w:rPr>
        <w:t>Účetní hospodářský výsledek společnosti Český porcelán,</w:t>
      </w:r>
      <w:r w:rsidR="00972FC1">
        <w:rPr>
          <w:sz w:val="26"/>
          <w:szCs w:val="26"/>
        </w:rPr>
        <w:t xml:space="preserve"> a. s. za rok 2019 je ztráta ve </w:t>
      </w:r>
      <w:r w:rsidRPr="00083372">
        <w:rPr>
          <w:sz w:val="26"/>
          <w:szCs w:val="26"/>
        </w:rPr>
        <w:t>výši 20 923 tis. (20.923 499,42 Kč)</w:t>
      </w:r>
    </w:p>
    <w:p w14:paraId="0559A53D" w14:textId="77777777" w:rsidR="00EE1B9E" w:rsidRPr="00083372" w:rsidRDefault="00EE1B9E" w:rsidP="00EE1B9E">
      <w:pPr>
        <w:jc w:val="both"/>
        <w:rPr>
          <w:sz w:val="26"/>
          <w:szCs w:val="26"/>
        </w:rPr>
      </w:pPr>
      <w:r w:rsidRPr="00083372">
        <w:rPr>
          <w:sz w:val="26"/>
          <w:szCs w:val="26"/>
        </w:rPr>
        <w:t>Čistý obrat za rok 2019 činil 136 615 tis. Kč což je o 9 338 tis. Kč méně oproti roku 2018.</w:t>
      </w:r>
    </w:p>
    <w:p w14:paraId="5B24BB4C" w14:textId="77777777" w:rsidR="00EE1B9E" w:rsidRPr="00083372" w:rsidRDefault="00EE1B9E" w:rsidP="00EE1B9E">
      <w:pPr>
        <w:jc w:val="both"/>
        <w:rPr>
          <w:sz w:val="26"/>
          <w:szCs w:val="26"/>
        </w:rPr>
      </w:pPr>
      <w:r w:rsidRPr="00083372">
        <w:rPr>
          <w:sz w:val="26"/>
          <w:szCs w:val="26"/>
        </w:rPr>
        <w:t>Zrealizované tržby společnosti za prodej vlastních výrob</w:t>
      </w:r>
      <w:r w:rsidR="00972FC1">
        <w:rPr>
          <w:sz w:val="26"/>
          <w:szCs w:val="26"/>
        </w:rPr>
        <w:t>ků, zboží a služeb dosáhly výše </w:t>
      </w:r>
      <w:r w:rsidRPr="00083372">
        <w:rPr>
          <w:sz w:val="26"/>
          <w:szCs w:val="26"/>
        </w:rPr>
        <w:t>135 319 tis. Kč, tj. o 5 677 tis. Kč více než v roce předchozím.</w:t>
      </w:r>
    </w:p>
    <w:p w14:paraId="2B323DE9" w14:textId="77777777" w:rsidR="00EE1B9E" w:rsidRPr="00083372" w:rsidRDefault="00EE1B9E" w:rsidP="00EE1B9E">
      <w:pPr>
        <w:jc w:val="both"/>
        <w:rPr>
          <w:sz w:val="26"/>
          <w:szCs w:val="26"/>
        </w:rPr>
      </w:pPr>
      <w:r w:rsidRPr="00083372">
        <w:rPr>
          <w:sz w:val="26"/>
          <w:szCs w:val="26"/>
        </w:rPr>
        <w:t>Výkonová spotřeba, tzn. spotřeba materiálu, energie a služeb činila za rok 2019 63 279 tis. Kč, což je o 864 tis. Kč více než v roce 2018.</w:t>
      </w:r>
    </w:p>
    <w:p w14:paraId="417DCB51" w14:textId="77777777" w:rsidR="00EE1B9E" w:rsidRPr="00083372" w:rsidRDefault="00EE1B9E" w:rsidP="00EE1B9E">
      <w:pPr>
        <w:jc w:val="both"/>
        <w:rPr>
          <w:sz w:val="26"/>
          <w:szCs w:val="26"/>
        </w:rPr>
      </w:pPr>
      <w:r w:rsidRPr="00083372">
        <w:rPr>
          <w:sz w:val="26"/>
          <w:szCs w:val="26"/>
        </w:rPr>
        <w:t xml:space="preserve">V roce 2019 byla vytvořena účetní finanční rezerva na očekávané dopady </w:t>
      </w:r>
      <w:proofErr w:type="spellStart"/>
      <w:r w:rsidRPr="00083372">
        <w:rPr>
          <w:sz w:val="26"/>
          <w:szCs w:val="26"/>
        </w:rPr>
        <w:t>koronaviru</w:t>
      </w:r>
      <w:proofErr w:type="spellEnd"/>
      <w:r w:rsidRPr="00083372">
        <w:rPr>
          <w:sz w:val="26"/>
          <w:szCs w:val="26"/>
        </w:rPr>
        <w:t xml:space="preserve"> (COVID 19) ve výši 4.000 tis. Kč. Zároveň byly ponechány rezervy z roku 2018 ve výši 7.800 tis. Kč.</w:t>
      </w:r>
    </w:p>
    <w:p w14:paraId="11EDBAB2" w14:textId="77777777" w:rsidR="00EE1B9E" w:rsidRPr="00083372" w:rsidRDefault="00EE1B9E" w:rsidP="00EE1B9E">
      <w:pPr>
        <w:jc w:val="both"/>
        <w:rPr>
          <w:sz w:val="26"/>
          <w:szCs w:val="26"/>
        </w:rPr>
      </w:pPr>
      <w:r w:rsidRPr="00083372">
        <w:rPr>
          <w:sz w:val="26"/>
          <w:szCs w:val="26"/>
        </w:rPr>
        <w:t>Celková aktiva společnosti k 31. 12. 2019 oproti minulému období poklesla a dosáhla účetní hodnoty 144 540 tis. Kč.</w:t>
      </w:r>
    </w:p>
    <w:p w14:paraId="681FF117" w14:textId="77777777" w:rsidR="00EE1B9E" w:rsidRPr="00083372" w:rsidRDefault="00EE1B9E" w:rsidP="00EE1B9E">
      <w:pPr>
        <w:jc w:val="both"/>
        <w:rPr>
          <w:sz w:val="26"/>
          <w:szCs w:val="26"/>
        </w:rPr>
      </w:pPr>
      <w:r w:rsidRPr="00083372">
        <w:rPr>
          <w:sz w:val="26"/>
          <w:szCs w:val="26"/>
        </w:rPr>
        <w:t>Dlouhodobý hmotný majetek má ke konci roku hodnotu 62 958 tis. Kč, což představuje 44</w:t>
      </w:r>
      <w:r w:rsidR="00972FC1">
        <w:rPr>
          <w:sz w:val="26"/>
          <w:szCs w:val="26"/>
        </w:rPr>
        <w:t> </w:t>
      </w:r>
      <w:r w:rsidRPr="00083372">
        <w:rPr>
          <w:sz w:val="26"/>
          <w:szCs w:val="26"/>
        </w:rPr>
        <w:t>% hodnoty stálých aktiv.</w:t>
      </w:r>
    </w:p>
    <w:p w14:paraId="2C70E290" w14:textId="77777777" w:rsidR="00EE1B9E" w:rsidRPr="00083372" w:rsidRDefault="00EE1B9E" w:rsidP="00EE1B9E">
      <w:pPr>
        <w:jc w:val="both"/>
        <w:rPr>
          <w:sz w:val="26"/>
          <w:szCs w:val="26"/>
        </w:rPr>
      </w:pPr>
      <w:r w:rsidRPr="00083372">
        <w:rPr>
          <w:sz w:val="26"/>
          <w:szCs w:val="26"/>
        </w:rPr>
        <w:t>Společnost</w:t>
      </w:r>
      <w:r w:rsidR="00D83C08" w:rsidRPr="00D83C08">
        <w:rPr>
          <w:sz w:val="26"/>
          <w:szCs w:val="26"/>
        </w:rPr>
        <w:t xml:space="preserve"> </w:t>
      </w:r>
      <w:r w:rsidR="00D83C08">
        <w:rPr>
          <w:sz w:val="26"/>
          <w:szCs w:val="26"/>
        </w:rPr>
        <w:t xml:space="preserve">k 31. 12. 2019, stejně jako v minulých letech, neměla </w:t>
      </w:r>
      <w:r w:rsidRPr="00083372">
        <w:rPr>
          <w:sz w:val="26"/>
          <w:szCs w:val="26"/>
        </w:rPr>
        <w:t>žádné bankovní úvěry.</w:t>
      </w:r>
    </w:p>
    <w:p w14:paraId="01B074AD" w14:textId="77777777" w:rsidR="00EE1B9E" w:rsidRPr="00083372" w:rsidRDefault="00EE1B9E" w:rsidP="00EE1B9E">
      <w:pPr>
        <w:jc w:val="both"/>
        <w:rPr>
          <w:sz w:val="26"/>
          <w:szCs w:val="26"/>
        </w:rPr>
      </w:pPr>
      <w:r w:rsidRPr="00083372">
        <w:rPr>
          <w:sz w:val="26"/>
          <w:szCs w:val="26"/>
        </w:rPr>
        <w:t xml:space="preserve">Finanční situace se oproti minulému roku prudce zhoršila, Firma není schopná hradit finanční závazky ve splatnosti. Dokládá to i stav cash </w:t>
      </w:r>
      <w:proofErr w:type="spellStart"/>
      <w:r w:rsidRPr="00083372">
        <w:rPr>
          <w:sz w:val="26"/>
          <w:szCs w:val="26"/>
        </w:rPr>
        <w:t>flow</w:t>
      </w:r>
      <w:proofErr w:type="spellEnd"/>
      <w:r w:rsidRPr="00083372">
        <w:rPr>
          <w:sz w:val="26"/>
          <w:szCs w:val="26"/>
        </w:rPr>
        <w:t>, který dosahoval ke konci roku hodnoty 12.033 tis. Kč, tj. pokles o 12.232 tis. Kč oproti roku 2018.</w:t>
      </w:r>
    </w:p>
    <w:p w14:paraId="6978B376" w14:textId="77777777" w:rsidR="00EE1B9E" w:rsidRPr="00083372" w:rsidRDefault="00EE1B9E" w:rsidP="00EE1B9E">
      <w:pPr>
        <w:jc w:val="both"/>
        <w:rPr>
          <w:sz w:val="26"/>
          <w:szCs w:val="26"/>
        </w:rPr>
      </w:pPr>
      <w:r w:rsidRPr="00083372">
        <w:rPr>
          <w:sz w:val="26"/>
          <w:szCs w:val="26"/>
        </w:rPr>
        <w:t>V dalších letech musí být zavedena opatření vedoucí ke zvýšení výnosů nebo snížení nákladů, jinak je finanční situace společnosti neudržitelná.</w:t>
      </w:r>
    </w:p>
    <w:p w14:paraId="5689B2EC" w14:textId="77777777" w:rsidR="00EE1B9E" w:rsidRPr="00083372" w:rsidRDefault="00EE1B9E" w:rsidP="00EE1B9E">
      <w:pPr>
        <w:jc w:val="both"/>
        <w:rPr>
          <w:sz w:val="26"/>
          <w:szCs w:val="26"/>
        </w:rPr>
      </w:pPr>
    </w:p>
    <w:p w14:paraId="7BA1FEA4" w14:textId="77777777" w:rsidR="00EE1B9E" w:rsidRDefault="00EE1B9E" w:rsidP="00EE1B9E">
      <w:pPr>
        <w:jc w:val="both"/>
        <w:rPr>
          <w:sz w:val="26"/>
          <w:szCs w:val="26"/>
        </w:rPr>
      </w:pPr>
    </w:p>
    <w:p w14:paraId="10B2E3E6" w14:textId="77777777" w:rsidR="00083372" w:rsidRPr="0024153A" w:rsidRDefault="00083372" w:rsidP="0024153A">
      <w:pPr>
        <w:pStyle w:val="Nadpis1"/>
        <w:spacing w:after="200"/>
        <w:rPr>
          <w:color w:val="365F91" w:themeColor="accent1" w:themeShade="BF"/>
        </w:rPr>
      </w:pPr>
      <w:bookmarkStart w:id="5" w:name="_Toc45113405"/>
      <w:r w:rsidRPr="0024153A">
        <w:rPr>
          <w:color w:val="365F91" w:themeColor="accent1" w:themeShade="BF"/>
        </w:rPr>
        <w:lastRenderedPageBreak/>
        <w:t>ZPRÁVA O VZTAZÍCH MEZI PROPOJENÝMI OSOBAMI</w:t>
      </w:r>
      <w:bookmarkEnd w:id="5"/>
    </w:p>
    <w:p w14:paraId="39DDAE05" w14:textId="77777777" w:rsidR="000B1DA4" w:rsidRPr="000B1DA4" w:rsidRDefault="000B1DA4" w:rsidP="000B1DA4"/>
    <w:p w14:paraId="0869C9E4" w14:textId="77777777" w:rsidR="000B1DA4" w:rsidRPr="00083372" w:rsidRDefault="000B1DA4" w:rsidP="00636464">
      <w:pPr>
        <w:jc w:val="center"/>
      </w:pPr>
      <w:r w:rsidRPr="00083372">
        <w:t xml:space="preserve">Vypracovaná podle </w:t>
      </w:r>
      <w:proofErr w:type="spellStart"/>
      <w:r w:rsidRPr="00083372">
        <w:t>ust</w:t>
      </w:r>
      <w:proofErr w:type="spellEnd"/>
      <w:r w:rsidRPr="00083372">
        <w:t>. § 82 zák. č. 90/2012 Sb. o obchodních korporacích v platném znění</w:t>
      </w:r>
    </w:p>
    <w:p w14:paraId="5D72DBA9" w14:textId="77777777" w:rsidR="000B1DA4" w:rsidRPr="00083372" w:rsidRDefault="000B1DA4" w:rsidP="00636464">
      <w:pPr>
        <w:jc w:val="center"/>
      </w:pPr>
    </w:p>
    <w:p w14:paraId="1A61C634" w14:textId="77777777" w:rsidR="000B1DA4" w:rsidRPr="00083372" w:rsidRDefault="000B1DA4" w:rsidP="00636464">
      <w:pPr>
        <w:jc w:val="center"/>
      </w:pPr>
    </w:p>
    <w:p w14:paraId="33FD6A45" w14:textId="77777777" w:rsidR="000B1DA4" w:rsidRPr="00083372" w:rsidRDefault="000B1DA4" w:rsidP="00636464">
      <w:pPr>
        <w:jc w:val="center"/>
      </w:pPr>
      <w:r w:rsidRPr="00083372">
        <w:rPr>
          <w:b/>
          <w:bCs/>
        </w:rPr>
        <w:t>za účetní období roku 201</w:t>
      </w:r>
      <w:r w:rsidR="00830779" w:rsidRPr="00083372">
        <w:rPr>
          <w:b/>
          <w:bCs/>
        </w:rPr>
        <w:t>9</w:t>
      </w:r>
    </w:p>
    <w:p w14:paraId="1BE2A772" w14:textId="77777777" w:rsidR="000B1DA4" w:rsidRPr="00083372" w:rsidRDefault="000B1DA4" w:rsidP="00636464">
      <w:pPr>
        <w:jc w:val="center"/>
      </w:pPr>
    </w:p>
    <w:p w14:paraId="613E73BD" w14:textId="77777777" w:rsidR="000B1DA4" w:rsidRPr="00083372" w:rsidRDefault="000B1DA4" w:rsidP="00636464">
      <w:pPr>
        <w:jc w:val="center"/>
      </w:pPr>
    </w:p>
    <w:p w14:paraId="33EB03C2" w14:textId="77777777" w:rsidR="000B1DA4" w:rsidRPr="00083372" w:rsidRDefault="000B1DA4" w:rsidP="00636464">
      <w:pPr>
        <w:jc w:val="center"/>
        <w:rPr>
          <w:b/>
          <w:bCs/>
        </w:rPr>
      </w:pPr>
      <w:r w:rsidRPr="00083372">
        <w:rPr>
          <w:b/>
          <w:bCs/>
        </w:rPr>
        <w:t>ovládané společnosti</w:t>
      </w:r>
    </w:p>
    <w:p w14:paraId="59FC0B1B" w14:textId="77777777" w:rsidR="00636464" w:rsidRPr="00083372" w:rsidRDefault="00636464" w:rsidP="00636464">
      <w:pPr>
        <w:jc w:val="center"/>
        <w:rPr>
          <w:b/>
          <w:bCs/>
        </w:rPr>
      </w:pPr>
    </w:p>
    <w:p w14:paraId="3542FEA6" w14:textId="77777777" w:rsidR="00636464" w:rsidRPr="00083372" w:rsidRDefault="00636464" w:rsidP="00636464">
      <w:pPr>
        <w:jc w:val="center"/>
      </w:pPr>
    </w:p>
    <w:p w14:paraId="662FF919" w14:textId="77777777" w:rsidR="000B1DA4" w:rsidRPr="00083372" w:rsidRDefault="000B1DA4" w:rsidP="00636464">
      <w:pPr>
        <w:jc w:val="center"/>
      </w:pPr>
      <w:r w:rsidRPr="00083372">
        <w:rPr>
          <w:b/>
          <w:bCs/>
          <w:sz w:val="56"/>
          <w:szCs w:val="56"/>
        </w:rPr>
        <w:t>Český porcelán, akciová společnost</w:t>
      </w:r>
    </w:p>
    <w:p w14:paraId="59742945" w14:textId="77777777" w:rsidR="000B1DA4" w:rsidRPr="00083372" w:rsidRDefault="000B1DA4" w:rsidP="000B1DA4">
      <w:r w:rsidRPr="00083372">
        <w:rPr>
          <w:b/>
          <w:bCs/>
        </w:rPr>
        <w:t> </w:t>
      </w:r>
      <w:r w:rsidRPr="00083372">
        <w:t>se sídlem Tovární 605/17, Dubí 417 01</w:t>
      </w:r>
    </w:p>
    <w:p w14:paraId="58601933" w14:textId="77777777" w:rsidR="000B1DA4" w:rsidRPr="00083372" w:rsidRDefault="00675C1E" w:rsidP="000B1DA4">
      <w:r w:rsidRPr="00083372">
        <w:t> </w:t>
      </w:r>
      <w:r w:rsidR="000B1DA4" w:rsidRPr="00083372">
        <w:t>zapsaná v obchodním rejstříku vedeném u KS v Ústí nad Labem, oddíl B, vložka 101</w:t>
      </w:r>
    </w:p>
    <w:p w14:paraId="79B3B142" w14:textId="77777777" w:rsidR="000B7D5F" w:rsidRPr="00083372" w:rsidRDefault="000B7D5F" w:rsidP="000B1DA4">
      <w:r w:rsidRPr="00083372">
        <w:t> IČ: 00174238</w:t>
      </w:r>
    </w:p>
    <w:p w14:paraId="7DA43B37" w14:textId="77777777" w:rsidR="000B1DA4" w:rsidRPr="00083372" w:rsidRDefault="000B1DA4" w:rsidP="000B1DA4">
      <w:r w:rsidRPr="00083372">
        <w:t> </w:t>
      </w:r>
    </w:p>
    <w:p w14:paraId="2080B221" w14:textId="77777777" w:rsidR="00675C1E" w:rsidRPr="00083372" w:rsidRDefault="000B1DA4" w:rsidP="00D75937">
      <w:pPr>
        <w:jc w:val="center"/>
      </w:pPr>
      <w:r w:rsidRPr="00083372">
        <w:t>(dále ovládaná společnost)</w:t>
      </w:r>
    </w:p>
    <w:p w14:paraId="043E6D4A" w14:textId="77777777" w:rsidR="00675C1E" w:rsidRPr="00083372" w:rsidRDefault="00675C1E">
      <w:r w:rsidRPr="00083372">
        <w:br w:type="page"/>
      </w:r>
    </w:p>
    <w:p w14:paraId="69F3666E" w14:textId="77777777" w:rsidR="00D97E39" w:rsidRPr="00F86634" w:rsidRDefault="00D97E39" w:rsidP="00D97E39">
      <w:pPr>
        <w:rPr>
          <w:color w:val="365F91" w:themeColor="accent1" w:themeShade="BF"/>
          <w:sz w:val="52"/>
          <w:szCs w:val="52"/>
        </w:rPr>
      </w:pPr>
      <w:r w:rsidRPr="00F86634">
        <w:rPr>
          <w:color w:val="365F91" w:themeColor="accent1" w:themeShade="BF"/>
          <w:sz w:val="52"/>
          <w:szCs w:val="52"/>
        </w:rPr>
        <w:lastRenderedPageBreak/>
        <w:t>ZPRÁVA O VZTAZÍCH MEZI PROPOJENÝMI OSOBAMI</w:t>
      </w:r>
    </w:p>
    <w:p w14:paraId="39AD6CCB" w14:textId="77777777" w:rsidR="008F1485" w:rsidRPr="008F1485" w:rsidRDefault="008F1485" w:rsidP="008F1485">
      <w:pPr>
        <w:jc w:val="center"/>
      </w:pPr>
    </w:p>
    <w:p w14:paraId="4D3371A0" w14:textId="77777777" w:rsidR="00636464" w:rsidRPr="00083372" w:rsidRDefault="00636464" w:rsidP="001C4B5C">
      <w:pPr>
        <w:spacing w:after="0" w:line="240" w:lineRule="auto"/>
        <w:jc w:val="center"/>
        <w:rPr>
          <w:b/>
          <w:sz w:val="34"/>
          <w:szCs w:val="34"/>
        </w:rPr>
      </w:pPr>
      <w:r w:rsidRPr="00083372">
        <w:rPr>
          <w:b/>
          <w:sz w:val="34"/>
          <w:szCs w:val="34"/>
        </w:rPr>
        <w:t>Představenstvo společnosti Český porcelán, a. s.</w:t>
      </w:r>
    </w:p>
    <w:p w14:paraId="499AE4B6" w14:textId="77777777" w:rsidR="001C4B5C" w:rsidRPr="00083372" w:rsidRDefault="001C4B5C" w:rsidP="001C4B5C">
      <w:pPr>
        <w:spacing w:after="0" w:line="240" w:lineRule="auto"/>
        <w:jc w:val="center"/>
        <w:rPr>
          <w:b/>
        </w:rPr>
      </w:pPr>
    </w:p>
    <w:p w14:paraId="5644EEEF" w14:textId="77777777" w:rsidR="00636464" w:rsidRPr="00083372" w:rsidRDefault="00636464" w:rsidP="001C4B5C">
      <w:r w:rsidRPr="00083372">
        <w:t>se sídlem Tovární 605/17, Dubí, PSČ 417 01</w:t>
      </w:r>
    </w:p>
    <w:p w14:paraId="2D8F3858" w14:textId="77777777" w:rsidR="00636464" w:rsidRPr="00083372" w:rsidRDefault="00636464" w:rsidP="001C4B5C">
      <w:r w:rsidRPr="00083372">
        <w:t>zapsaná v obchodním rejstříku vedeném u KS v Ústí nad Labem, oddíl B, vložka 101</w:t>
      </w:r>
    </w:p>
    <w:p w14:paraId="6A71428F" w14:textId="77777777" w:rsidR="00636464" w:rsidRPr="00083372" w:rsidRDefault="00636464" w:rsidP="001C4B5C">
      <w:r w:rsidRPr="00083372">
        <w:t>IČ: 00174238</w:t>
      </w:r>
    </w:p>
    <w:p w14:paraId="161369CE" w14:textId="77777777" w:rsidR="00636464" w:rsidRPr="00083372" w:rsidRDefault="00636464" w:rsidP="00636464">
      <w:pPr>
        <w:jc w:val="center"/>
      </w:pPr>
    </w:p>
    <w:p w14:paraId="01CEAF00" w14:textId="77777777" w:rsidR="00636464" w:rsidRPr="00083372" w:rsidRDefault="00636464" w:rsidP="00636464">
      <w:pPr>
        <w:jc w:val="center"/>
        <w:rPr>
          <w:b/>
        </w:rPr>
      </w:pPr>
      <w:r w:rsidRPr="00083372">
        <w:rPr>
          <w:b/>
        </w:rPr>
        <w:t>předkládá</w:t>
      </w:r>
    </w:p>
    <w:p w14:paraId="711C3816" w14:textId="77777777" w:rsidR="00636464" w:rsidRPr="00083372" w:rsidRDefault="00636464" w:rsidP="00636464">
      <w:pPr>
        <w:jc w:val="center"/>
      </w:pPr>
    </w:p>
    <w:p w14:paraId="62A0A0D3" w14:textId="77777777" w:rsidR="00636464" w:rsidRPr="00083372" w:rsidRDefault="00636464" w:rsidP="00636464">
      <w:pPr>
        <w:jc w:val="center"/>
        <w:rPr>
          <w:b/>
        </w:rPr>
      </w:pPr>
      <w:r w:rsidRPr="00083372">
        <w:rPr>
          <w:b/>
        </w:rPr>
        <w:t>Zprávu o vztazích mezi propojenými osobami</w:t>
      </w:r>
    </w:p>
    <w:p w14:paraId="4746A0BC" w14:textId="77777777" w:rsidR="00636464" w:rsidRPr="00083372" w:rsidRDefault="00636464" w:rsidP="00636464">
      <w:pPr>
        <w:jc w:val="center"/>
        <w:rPr>
          <w:b/>
        </w:rPr>
      </w:pPr>
    </w:p>
    <w:p w14:paraId="7B911D37" w14:textId="77777777" w:rsidR="00636464" w:rsidRPr="00083372" w:rsidRDefault="00636464" w:rsidP="001C4B5C">
      <w:pPr>
        <w:spacing w:after="0" w:line="240" w:lineRule="auto"/>
        <w:jc w:val="center"/>
        <w:rPr>
          <w:b/>
        </w:rPr>
      </w:pPr>
      <w:r w:rsidRPr="00083372">
        <w:rPr>
          <w:b/>
        </w:rPr>
        <w:t xml:space="preserve">vypracovanou dle </w:t>
      </w:r>
      <w:proofErr w:type="spellStart"/>
      <w:r w:rsidRPr="00083372">
        <w:rPr>
          <w:b/>
        </w:rPr>
        <w:t>ust</w:t>
      </w:r>
      <w:proofErr w:type="spellEnd"/>
      <w:r w:rsidRPr="00083372">
        <w:rPr>
          <w:b/>
        </w:rPr>
        <w:t>. § 82 zák. č. 90/2012 Sb. o obchodních korporacích</w:t>
      </w:r>
    </w:p>
    <w:p w14:paraId="091ACDC8" w14:textId="77777777" w:rsidR="00636464" w:rsidRPr="00083372" w:rsidRDefault="00636464" w:rsidP="001C4B5C">
      <w:pPr>
        <w:spacing w:after="0" w:line="240" w:lineRule="auto"/>
        <w:jc w:val="center"/>
        <w:rPr>
          <w:b/>
        </w:rPr>
      </w:pPr>
      <w:r w:rsidRPr="00083372">
        <w:rPr>
          <w:b/>
        </w:rPr>
        <w:t xml:space="preserve"> v platném znění (dále jen „zpráva o vztazích“).</w:t>
      </w:r>
    </w:p>
    <w:p w14:paraId="64551C70" w14:textId="77777777" w:rsidR="00636464" w:rsidRPr="00083372" w:rsidRDefault="00636464" w:rsidP="001C4B5C"/>
    <w:p w14:paraId="3030EA07" w14:textId="77777777" w:rsidR="001C4B5C" w:rsidRPr="00083372" w:rsidRDefault="001C4B5C" w:rsidP="001C4B5C">
      <w:pPr>
        <w:spacing w:after="0" w:line="240" w:lineRule="auto"/>
        <w:jc w:val="both"/>
      </w:pPr>
      <w:r w:rsidRPr="00083372">
        <w:rPr>
          <w:b/>
          <w:bCs/>
        </w:rPr>
        <w:t>1. DEFINICE OVLÁDANÝCH, OVLÁDAJÍCÍCH A PROPOJENÝCH OSOB</w:t>
      </w:r>
      <w:r w:rsidRPr="00083372">
        <w:t xml:space="preserve"> </w:t>
      </w:r>
    </w:p>
    <w:p w14:paraId="5F8ED340" w14:textId="77777777" w:rsidR="001C4B5C" w:rsidRPr="00083372" w:rsidRDefault="001C4B5C" w:rsidP="001C4B5C">
      <w:pPr>
        <w:spacing w:after="0" w:line="240" w:lineRule="auto"/>
        <w:jc w:val="both"/>
      </w:pPr>
      <w:r w:rsidRPr="00083372">
        <w:t> </w:t>
      </w:r>
    </w:p>
    <w:p w14:paraId="054B2DBF" w14:textId="77777777" w:rsidR="001C4B5C" w:rsidRPr="00083372" w:rsidRDefault="001C4B5C" w:rsidP="001C4B5C">
      <w:pPr>
        <w:spacing w:after="0" w:line="240" w:lineRule="auto"/>
        <w:jc w:val="both"/>
      </w:pPr>
      <w:r w:rsidRPr="00083372">
        <w:rPr>
          <w:b/>
          <w:bCs/>
        </w:rPr>
        <w:t>1.1 Základní identifikace ovládané osoby</w:t>
      </w:r>
      <w:r w:rsidRPr="00083372">
        <w:t xml:space="preserve"> </w:t>
      </w:r>
    </w:p>
    <w:p w14:paraId="3026B6A7" w14:textId="77777777" w:rsidR="001C4B5C" w:rsidRPr="00083372" w:rsidRDefault="001C4B5C" w:rsidP="001C4B5C">
      <w:pPr>
        <w:spacing w:after="0" w:line="240" w:lineRule="auto"/>
        <w:jc w:val="both"/>
      </w:pPr>
      <w:r w:rsidRPr="00083372">
        <w:rPr>
          <w:b/>
          <w:bCs/>
        </w:rPr>
        <w:t> </w:t>
      </w:r>
    </w:p>
    <w:p w14:paraId="5839FC55" w14:textId="77777777" w:rsidR="001C4B5C" w:rsidRPr="00083372" w:rsidRDefault="001C4B5C" w:rsidP="001C4B5C">
      <w:pPr>
        <w:spacing w:after="0" w:line="240" w:lineRule="auto"/>
        <w:jc w:val="both"/>
      </w:pPr>
      <w:r w:rsidRPr="00083372">
        <w:tab/>
        <w:t>Obchodní společnost: Český porcelán, a. s.</w:t>
      </w:r>
    </w:p>
    <w:p w14:paraId="439236A6" w14:textId="77777777" w:rsidR="001C4B5C" w:rsidRPr="00083372" w:rsidRDefault="001C4B5C" w:rsidP="001C4B5C">
      <w:pPr>
        <w:spacing w:after="0" w:line="240" w:lineRule="auto"/>
        <w:jc w:val="both"/>
      </w:pPr>
      <w:r w:rsidRPr="00083372">
        <w:tab/>
        <w:t xml:space="preserve">Sídlo: </w:t>
      </w:r>
      <w:r w:rsidRPr="00083372">
        <w:tab/>
      </w:r>
      <w:r w:rsidRPr="00083372">
        <w:tab/>
      </w:r>
      <w:r w:rsidRPr="00083372">
        <w:tab/>
        <w:t>Tovární 605</w:t>
      </w:r>
      <w:r w:rsidR="00043B2E" w:rsidRPr="00083372">
        <w:t>/17</w:t>
      </w:r>
      <w:r w:rsidRPr="00083372">
        <w:t>, Dubí 417 01</w:t>
      </w:r>
    </w:p>
    <w:p w14:paraId="5B475C1D" w14:textId="77777777" w:rsidR="001C4B5C" w:rsidRPr="00083372" w:rsidRDefault="001C4B5C" w:rsidP="001C4B5C">
      <w:pPr>
        <w:spacing w:after="0" w:line="240" w:lineRule="auto"/>
        <w:jc w:val="both"/>
      </w:pPr>
      <w:r w:rsidRPr="00083372">
        <w:tab/>
        <w:t xml:space="preserve">Identifikační číslo: </w:t>
      </w:r>
      <w:r w:rsidRPr="00083372">
        <w:tab/>
        <w:t>00174238</w:t>
      </w:r>
    </w:p>
    <w:p w14:paraId="5BA5AE42" w14:textId="77777777" w:rsidR="001C4B5C" w:rsidRPr="00083372" w:rsidRDefault="001C4B5C" w:rsidP="001C4B5C">
      <w:pPr>
        <w:tabs>
          <w:tab w:val="left" w:pos="709"/>
        </w:tabs>
        <w:spacing w:after="0" w:line="240" w:lineRule="auto"/>
        <w:ind w:left="708"/>
        <w:jc w:val="both"/>
      </w:pPr>
      <w:r w:rsidRPr="00083372">
        <w:tab/>
        <w:t>Společnost je zapsaná v obchodním rejstříku vedeném u KS v Ústí nad Labem oddíl B, vložka 101</w:t>
      </w:r>
    </w:p>
    <w:p w14:paraId="7E1AFF20" w14:textId="77777777" w:rsidR="001C4B5C" w:rsidRPr="00083372" w:rsidRDefault="001C4B5C" w:rsidP="001C4B5C">
      <w:pPr>
        <w:spacing w:after="0" w:line="240" w:lineRule="auto"/>
        <w:jc w:val="both"/>
      </w:pPr>
      <w:r w:rsidRPr="00083372">
        <w:rPr>
          <w:b/>
          <w:bCs/>
        </w:rPr>
        <w:t> </w:t>
      </w:r>
      <w:r w:rsidRPr="00083372">
        <w:t xml:space="preserve"> </w:t>
      </w:r>
    </w:p>
    <w:p w14:paraId="6CBA7711" w14:textId="77777777" w:rsidR="001C4B5C" w:rsidRPr="00083372" w:rsidRDefault="001C4B5C" w:rsidP="001C4B5C">
      <w:pPr>
        <w:spacing w:after="0" w:line="240" w:lineRule="auto"/>
        <w:jc w:val="both"/>
      </w:pPr>
      <w:r w:rsidRPr="00083372">
        <w:rPr>
          <w:b/>
          <w:bCs/>
        </w:rPr>
        <w:t>1.2. Základní identifikace ovládající osoby (dále i propojená osoba)</w:t>
      </w:r>
      <w:r w:rsidRPr="00083372">
        <w:t xml:space="preserve"> </w:t>
      </w:r>
    </w:p>
    <w:p w14:paraId="4876BE89" w14:textId="77777777" w:rsidR="001C4B5C" w:rsidRPr="00083372" w:rsidRDefault="001C4B5C" w:rsidP="001C4B5C">
      <w:pPr>
        <w:spacing w:after="0" w:line="240" w:lineRule="auto"/>
        <w:jc w:val="both"/>
      </w:pPr>
      <w:r w:rsidRPr="00083372">
        <w:rPr>
          <w:b/>
          <w:bCs/>
        </w:rPr>
        <w:t> </w:t>
      </w:r>
      <w:r w:rsidRPr="00083372">
        <w:t xml:space="preserve"> </w:t>
      </w:r>
    </w:p>
    <w:p w14:paraId="0E787540" w14:textId="77777777" w:rsidR="001C4B5C" w:rsidRPr="00083372" w:rsidRDefault="001C4B5C" w:rsidP="001C4B5C">
      <w:pPr>
        <w:spacing w:after="0" w:line="240" w:lineRule="auto"/>
        <w:jc w:val="both"/>
      </w:pPr>
      <w:r w:rsidRPr="00083372">
        <w:rPr>
          <w:b/>
          <w:bCs/>
        </w:rPr>
        <w:tab/>
      </w:r>
      <w:r w:rsidRPr="00083372">
        <w:t>Přímou ovládající osobou obchodní společnosti Český porcelán, a. s. je:</w:t>
      </w:r>
    </w:p>
    <w:p w14:paraId="3E36C5CF" w14:textId="77777777" w:rsidR="001C4B5C" w:rsidRPr="00083372" w:rsidRDefault="001C4B5C" w:rsidP="001C4B5C">
      <w:pPr>
        <w:spacing w:after="0" w:line="240" w:lineRule="auto"/>
        <w:ind w:firstLine="708"/>
        <w:jc w:val="both"/>
      </w:pPr>
      <w:r w:rsidRPr="00083372">
        <w:t>Fyzická osoba</w:t>
      </w:r>
      <w:r w:rsidRPr="00083372">
        <w:tab/>
        <w:t xml:space="preserve">: Ing. Vladimír </w:t>
      </w:r>
      <w:proofErr w:type="spellStart"/>
      <w:r w:rsidRPr="00083372">
        <w:t>Feix</w:t>
      </w:r>
      <w:proofErr w:type="spellEnd"/>
      <w:r w:rsidRPr="00083372">
        <w:t>, dr. h. c.</w:t>
      </w:r>
    </w:p>
    <w:p w14:paraId="564F5A75" w14:textId="77777777" w:rsidR="008F1485" w:rsidRPr="00083372" w:rsidRDefault="001C4B5C" w:rsidP="001C4B5C">
      <w:pPr>
        <w:spacing w:after="0" w:line="240" w:lineRule="auto"/>
        <w:jc w:val="both"/>
      </w:pPr>
      <w:r w:rsidRPr="00083372">
        <w:tab/>
        <w:t>Sídlo</w:t>
      </w:r>
      <w:r w:rsidRPr="00083372">
        <w:tab/>
      </w:r>
      <w:r w:rsidRPr="00083372">
        <w:tab/>
        <w:t>: Lesní 209/1, Dubí 417 02</w:t>
      </w:r>
    </w:p>
    <w:p w14:paraId="3D4E268D" w14:textId="77777777" w:rsidR="00D97E39" w:rsidRPr="00F86634" w:rsidRDefault="008F1485" w:rsidP="00D97E39">
      <w:pPr>
        <w:rPr>
          <w:color w:val="365F91" w:themeColor="accent1" w:themeShade="BF"/>
          <w:sz w:val="52"/>
          <w:szCs w:val="52"/>
        </w:rPr>
      </w:pPr>
      <w:r w:rsidRPr="00083372">
        <w:br w:type="page"/>
      </w:r>
      <w:r w:rsidR="00D97E39" w:rsidRPr="00F86634">
        <w:rPr>
          <w:color w:val="365F91" w:themeColor="accent1" w:themeShade="BF"/>
          <w:sz w:val="52"/>
          <w:szCs w:val="52"/>
        </w:rPr>
        <w:lastRenderedPageBreak/>
        <w:t>ZPRÁVA O VZTAZÍCH MEZI PROPOJENÝMI OSOBAMI</w:t>
      </w:r>
    </w:p>
    <w:p w14:paraId="7A29C636" w14:textId="77777777" w:rsidR="008F1485" w:rsidRPr="000207E5" w:rsidRDefault="008F1485" w:rsidP="00D97E39">
      <w:pPr>
        <w:rPr>
          <w:color w:val="00B0F0"/>
        </w:rPr>
      </w:pPr>
    </w:p>
    <w:p w14:paraId="2FA60166" w14:textId="77777777" w:rsidR="001C4B5C" w:rsidRPr="00083372" w:rsidRDefault="001C4B5C" w:rsidP="001C4B5C">
      <w:pPr>
        <w:spacing w:after="0" w:line="240" w:lineRule="auto"/>
        <w:jc w:val="both"/>
        <w:rPr>
          <w:b/>
          <w:bCs/>
        </w:rPr>
      </w:pPr>
      <w:r w:rsidRPr="00083372">
        <w:rPr>
          <w:b/>
          <w:bCs/>
        </w:rPr>
        <w:t xml:space="preserve">1.3 Struktura vztahů mezi propojenými osobami – osoby ovládané stejnou ovládající osobou, ke kterým měla obchodní společnost Český porcelán, a. s. v účetním období vztah </w:t>
      </w:r>
    </w:p>
    <w:p w14:paraId="0E908298" w14:textId="77777777" w:rsidR="001C4B5C" w:rsidRPr="00083372" w:rsidRDefault="001C4B5C" w:rsidP="001C4B5C">
      <w:pPr>
        <w:spacing w:after="0" w:line="240" w:lineRule="auto"/>
        <w:jc w:val="both"/>
      </w:pPr>
      <w:r w:rsidRPr="00083372">
        <w:rPr>
          <w:b/>
          <w:bCs/>
        </w:rPr>
        <w:t>(§ 82, odst. 2a zákona č. 90/2012 Sb.)</w:t>
      </w:r>
    </w:p>
    <w:p w14:paraId="58EEC135" w14:textId="77777777" w:rsidR="001C4B5C" w:rsidRPr="00083372" w:rsidRDefault="001C4B5C" w:rsidP="001C4B5C">
      <w:pPr>
        <w:spacing w:after="0" w:line="240" w:lineRule="auto"/>
        <w:jc w:val="both"/>
      </w:pPr>
      <w:r w:rsidRPr="00083372">
        <w:t xml:space="preserve">Ovládající osoba uvedená v článku 1. 2. neovládá ve smyslu § 82 zákona o obchodních korporacích žádné další společnosti, se kterými by obchodní společnost Český porcelán, a. s. měla v účetním období vztah. </w:t>
      </w:r>
    </w:p>
    <w:p w14:paraId="5A76ECBD" w14:textId="77777777" w:rsidR="001C4B5C" w:rsidRPr="00083372" w:rsidRDefault="001C4B5C" w:rsidP="001C4B5C">
      <w:pPr>
        <w:spacing w:after="0" w:line="240" w:lineRule="auto"/>
        <w:jc w:val="both"/>
      </w:pPr>
      <w:r w:rsidRPr="00083372">
        <w:rPr>
          <w:b/>
          <w:bCs/>
        </w:rPr>
        <w:t> </w:t>
      </w:r>
    </w:p>
    <w:p w14:paraId="1F64EA60" w14:textId="77777777" w:rsidR="001C4B5C" w:rsidRPr="00083372" w:rsidRDefault="001C4B5C" w:rsidP="001C4B5C">
      <w:pPr>
        <w:spacing w:after="0" w:line="240" w:lineRule="auto"/>
        <w:jc w:val="both"/>
      </w:pPr>
      <w:r w:rsidRPr="00083372">
        <w:rPr>
          <w:b/>
          <w:bCs/>
        </w:rPr>
        <w:t>1.4. Úloha ovládané osoby (§ 82, odst. 2b zákona č. 90/2012 Sb.)</w:t>
      </w:r>
      <w:r w:rsidRPr="00083372">
        <w:t xml:space="preserve"> </w:t>
      </w:r>
    </w:p>
    <w:p w14:paraId="7D8024EF" w14:textId="77777777" w:rsidR="001C4B5C" w:rsidRPr="00083372" w:rsidRDefault="001C4B5C" w:rsidP="001C4B5C">
      <w:pPr>
        <w:spacing w:after="0" w:line="240" w:lineRule="auto"/>
        <w:jc w:val="both"/>
      </w:pPr>
      <w:r w:rsidRPr="00083372">
        <w:t>Hlavní činností ovládané osoby v minulém účetním období byla výroba a prodej porcelánu a to jak užitkového tak i figurálního.</w:t>
      </w:r>
    </w:p>
    <w:p w14:paraId="3815F0A4" w14:textId="77777777" w:rsidR="001C4B5C" w:rsidRPr="00083372" w:rsidRDefault="001C4B5C" w:rsidP="001C4B5C">
      <w:pPr>
        <w:spacing w:after="0" w:line="240" w:lineRule="auto"/>
        <w:jc w:val="both"/>
      </w:pPr>
      <w:r w:rsidRPr="00083372">
        <w:rPr>
          <w:b/>
          <w:bCs/>
        </w:rPr>
        <w:t> </w:t>
      </w:r>
    </w:p>
    <w:p w14:paraId="3CBD9B52" w14:textId="77777777" w:rsidR="001C4B5C" w:rsidRPr="00083372" w:rsidRDefault="001C4B5C" w:rsidP="001C4B5C">
      <w:pPr>
        <w:spacing w:after="0" w:line="240" w:lineRule="auto"/>
        <w:jc w:val="both"/>
      </w:pPr>
      <w:r w:rsidRPr="00083372">
        <w:rPr>
          <w:b/>
          <w:bCs/>
        </w:rPr>
        <w:t>1.5. Způsob a prostředky ovládání</w:t>
      </w:r>
      <w:r w:rsidRPr="00083372">
        <w:t xml:space="preserve"> </w:t>
      </w:r>
    </w:p>
    <w:p w14:paraId="50FC672A" w14:textId="77777777" w:rsidR="001C4B5C" w:rsidRPr="00083372" w:rsidRDefault="001C4B5C" w:rsidP="001C4B5C">
      <w:pPr>
        <w:spacing w:after="0" w:line="240" w:lineRule="auto"/>
        <w:jc w:val="both"/>
      </w:pPr>
      <w:r w:rsidRPr="00083372">
        <w:t>Ovládající osoba má akcie ovládané osoby, jejichž souhrnná jmenovitá hodnota činí 4</w:t>
      </w:r>
      <w:r w:rsidR="008F1485" w:rsidRPr="00083372">
        <w:t>7</w:t>
      </w:r>
      <w:r w:rsidRPr="00083372">
        <w:t>,</w:t>
      </w:r>
      <w:r w:rsidR="008F1485" w:rsidRPr="00083372">
        <w:t>78 %.</w:t>
      </w:r>
    </w:p>
    <w:p w14:paraId="7E0E8FF2" w14:textId="77777777" w:rsidR="001C4B5C" w:rsidRPr="00083372" w:rsidRDefault="001C4B5C" w:rsidP="001C4B5C">
      <w:pPr>
        <w:spacing w:after="0" w:line="240" w:lineRule="auto"/>
        <w:jc w:val="both"/>
      </w:pPr>
      <w:r w:rsidRPr="00083372">
        <w:t> </w:t>
      </w:r>
    </w:p>
    <w:p w14:paraId="0FB52104" w14:textId="77777777" w:rsidR="001C4B5C" w:rsidRPr="00083372" w:rsidRDefault="001C4B5C" w:rsidP="001C4B5C">
      <w:pPr>
        <w:spacing w:after="0" w:line="240" w:lineRule="auto"/>
        <w:jc w:val="both"/>
        <w:rPr>
          <w:b/>
          <w:bCs/>
        </w:rPr>
      </w:pPr>
      <w:r w:rsidRPr="00083372">
        <w:rPr>
          <w:b/>
          <w:bCs/>
        </w:rPr>
        <w:t xml:space="preserve">2. PŘEHLED SMLUV UZAVŘENÝCH MEZI PROPOJENÝMI OSOBAMI </w:t>
      </w:r>
    </w:p>
    <w:p w14:paraId="32C051B9" w14:textId="77777777" w:rsidR="001C4B5C" w:rsidRPr="00083372" w:rsidRDefault="001C4B5C" w:rsidP="001C4B5C">
      <w:pPr>
        <w:spacing w:after="0" w:line="240" w:lineRule="auto"/>
        <w:jc w:val="both"/>
      </w:pPr>
      <w:r w:rsidRPr="00083372">
        <w:rPr>
          <w:b/>
          <w:bCs/>
        </w:rPr>
        <w:t>(§ 82, odst. 2 e a f zákona č. 90/2012 Sb.)</w:t>
      </w:r>
      <w:r w:rsidRPr="00083372">
        <w:t xml:space="preserve"> </w:t>
      </w:r>
    </w:p>
    <w:p w14:paraId="170BF3B0" w14:textId="77777777" w:rsidR="008F1485" w:rsidRPr="00083372" w:rsidRDefault="008F1485" w:rsidP="001C4B5C">
      <w:pPr>
        <w:spacing w:after="0" w:line="240" w:lineRule="auto"/>
        <w:jc w:val="both"/>
      </w:pPr>
    </w:p>
    <w:p w14:paraId="4090535F" w14:textId="77777777" w:rsidR="001C4B5C" w:rsidRPr="00083372" w:rsidRDefault="001C4B5C" w:rsidP="001C4B5C">
      <w:pPr>
        <w:spacing w:after="0" w:line="240" w:lineRule="auto"/>
        <w:jc w:val="both"/>
      </w:pPr>
      <w:r w:rsidRPr="00083372">
        <w:t>Nebyly uzavřeny žádné smlouvy mezi propojenými osobami.</w:t>
      </w:r>
    </w:p>
    <w:p w14:paraId="7BDB3255" w14:textId="77777777" w:rsidR="001C4B5C" w:rsidRPr="00083372" w:rsidRDefault="001C4B5C" w:rsidP="001C4B5C">
      <w:pPr>
        <w:spacing w:after="0" w:line="240" w:lineRule="auto"/>
        <w:jc w:val="both"/>
      </w:pPr>
    </w:p>
    <w:p w14:paraId="2326EA61" w14:textId="77777777" w:rsidR="001C4B5C" w:rsidRPr="00083372" w:rsidRDefault="001C4B5C" w:rsidP="001C4B5C">
      <w:pPr>
        <w:spacing w:after="0" w:line="240" w:lineRule="auto"/>
        <w:jc w:val="both"/>
        <w:rPr>
          <w:b/>
          <w:bCs/>
        </w:rPr>
      </w:pPr>
      <w:r w:rsidRPr="00083372">
        <w:rPr>
          <w:b/>
          <w:bCs/>
        </w:rPr>
        <w:t>3. OSTATNÍ OPATŘENÍ PŘIJATÉ NEBO USKUTEČNĚNÉ V ZÁJMU A NA POPUD PROPOJENÝCH OSOB V ROCE 2015 (§ 82, ODST. 2D ZÁKONA</w:t>
      </w:r>
      <w:r w:rsidR="008F1485" w:rsidRPr="00083372">
        <w:rPr>
          <w:b/>
          <w:bCs/>
        </w:rPr>
        <w:t xml:space="preserve"> </w:t>
      </w:r>
      <w:r w:rsidRPr="00083372">
        <w:rPr>
          <w:b/>
          <w:bCs/>
        </w:rPr>
        <w:t xml:space="preserve">Č. 90/2012 SB.) </w:t>
      </w:r>
    </w:p>
    <w:p w14:paraId="26FA5CB0" w14:textId="77777777" w:rsidR="008F1485" w:rsidRPr="00083372" w:rsidRDefault="008F1485" w:rsidP="001C4B5C">
      <w:pPr>
        <w:spacing w:after="0" w:line="240" w:lineRule="auto"/>
        <w:jc w:val="both"/>
        <w:rPr>
          <w:b/>
          <w:bCs/>
        </w:rPr>
      </w:pPr>
    </w:p>
    <w:p w14:paraId="6DC2906B" w14:textId="77777777" w:rsidR="001C4B5C" w:rsidRPr="00083372" w:rsidRDefault="001C4B5C" w:rsidP="001C4B5C">
      <w:pPr>
        <w:spacing w:after="0" w:line="240" w:lineRule="auto"/>
        <w:jc w:val="both"/>
      </w:pPr>
      <w:r w:rsidRPr="00083372">
        <w:t>Jedná se o jednání, které se týká majetku, který přesahuje 10 % vlastního kapitálu ovládané osoby zjištěného podle poslední účetní závěrky.</w:t>
      </w:r>
    </w:p>
    <w:p w14:paraId="5C2B59D2" w14:textId="77777777" w:rsidR="001C4B5C" w:rsidRPr="00083372" w:rsidRDefault="001C4B5C" w:rsidP="001C4B5C">
      <w:pPr>
        <w:spacing w:after="0" w:line="240" w:lineRule="auto"/>
        <w:jc w:val="both"/>
      </w:pPr>
      <w:r w:rsidRPr="00083372">
        <w:t> </w:t>
      </w:r>
    </w:p>
    <w:p w14:paraId="0621BE5C" w14:textId="77777777" w:rsidR="001C4B5C" w:rsidRPr="00083372" w:rsidRDefault="001C4B5C" w:rsidP="001C4B5C">
      <w:pPr>
        <w:spacing w:after="0" w:line="240" w:lineRule="auto"/>
        <w:jc w:val="both"/>
      </w:pPr>
      <w:r w:rsidRPr="00083372">
        <w:t>V účetním období nebyly učiněny mezi ovládanou osobou a ovládající osobou nebo ostatními propojenými osobami žádné jiné právní úkony ani přijata nebo uskutečněna ostatní opatření v zájmu nebo na popud této ovládající osoby nebo ostatních propojených osob, z ni</w:t>
      </w:r>
      <w:r w:rsidR="00972FC1">
        <w:t>chž by </w:t>
      </w:r>
      <w:r w:rsidRPr="00083372">
        <w:t>vznikla újma nebo prospěch, výhoda či nevýhoda.</w:t>
      </w:r>
    </w:p>
    <w:p w14:paraId="57908691" w14:textId="77777777" w:rsidR="00636464" w:rsidRPr="00083372" w:rsidRDefault="00636464" w:rsidP="00636464">
      <w:pPr>
        <w:pStyle w:val="Zkladntext"/>
      </w:pPr>
    </w:p>
    <w:p w14:paraId="5E875CE3" w14:textId="77777777" w:rsidR="008F1485" w:rsidRPr="00083372" w:rsidRDefault="008F1485">
      <w:pPr>
        <w:rPr>
          <w:rFonts w:ascii="Times New Roman" w:eastAsia="Times New Roman" w:hAnsi="Times New Roman" w:cs="Times New Roman"/>
          <w:i w:val="0"/>
          <w:szCs w:val="24"/>
          <w:lang w:eastAsia="cs-CZ"/>
        </w:rPr>
      </w:pPr>
      <w:r w:rsidRPr="00083372">
        <w:br w:type="page"/>
      </w:r>
    </w:p>
    <w:p w14:paraId="0A03661B" w14:textId="77777777" w:rsidR="00D97E39" w:rsidRPr="00F86634" w:rsidRDefault="00D97E39" w:rsidP="00D97E39">
      <w:pPr>
        <w:rPr>
          <w:color w:val="365F91" w:themeColor="accent1" w:themeShade="BF"/>
          <w:sz w:val="52"/>
          <w:szCs w:val="52"/>
        </w:rPr>
      </w:pPr>
      <w:r w:rsidRPr="00F86634">
        <w:rPr>
          <w:color w:val="365F91" w:themeColor="accent1" w:themeShade="BF"/>
          <w:sz w:val="52"/>
          <w:szCs w:val="52"/>
        </w:rPr>
        <w:lastRenderedPageBreak/>
        <w:t>ZPRÁVA O VZTAZÍCH MEZI PROPOJENÝMI OSOBAMI</w:t>
      </w:r>
    </w:p>
    <w:p w14:paraId="3F70D407" w14:textId="77777777" w:rsidR="008F1485" w:rsidRPr="000207E5" w:rsidRDefault="008F1485" w:rsidP="008F1485">
      <w:pPr>
        <w:jc w:val="center"/>
        <w:rPr>
          <w:color w:val="00B0F0"/>
        </w:rPr>
      </w:pPr>
    </w:p>
    <w:p w14:paraId="6682EF8D" w14:textId="77777777" w:rsidR="008F1485" w:rsidRPr="00083372" w:rsidRDefault="008F1485" w:rsidP="008F1485">
      <w:pPr>
        <w:spacing w:after="0" w:line="240" w:lineRule="auto"/>
        <w:jc w:val="both"/>
        <w:rPr>
          <w:b/>
          <w:bCs/>
        </w:rPr>
      </w:pPr>
      <w:r w:rsidRPr="00083372">
        <w:rPr>
          <w:b/>
          <w:bCs/>
        </w:rPr>
        <w:t xml:space="preserve">4. PROHLÁŠENÍ (ZHODNOCENÍ VZTAHŮ MEZI PROPOJENÝMI OSOBAMI) </w:t>
      </w:r>
    </w:p>
    <w:p w14:paraId="482CDA5A" w14:textId="77777777" w:rsidR="008F1485" w:rsidRPr="00083372" w:rsidRDefault="008F1485" w:rsidP="008F1485">
      <w:pPr>
        <w:spacing w:after="0" w:line="240" w:lineRule="auto"/>
        <w:jc w:val="both"/>
      </w:pPr>
      <w:r w:rsidRPr="00083372">
        <w:t> </w:t>
      </w:r>
    </w:p>
    <w:p w14:paraId="7BC17846" w14:textId="77777777" w:rsidR="008F1485" w:rsidRPr="00083372" w:rsidRDefault="008F1485" w:rsidP="008F1485">
      <w:pPr>
        <w:spacing w:after="0" w:line="240" w:lineRule="auto"/>
        <w:jc w:val="both"/>
      </w:pPr>
      <w:r w:rsidRPr="00083372">
        <w:t>Tato zpráva o vztazích neobsahuje údaje, jejichž uvedení by mohlo způsobit vážnou újmu společnosti, jiné s ní propojené osobě. Dále v ní nejsou uvedeny údaje, které tvoří předmět obchodního tajemství společnosti a údaje, které jsou utajovanými skutečnostmi podle zvláštního zákona. Představenstvo obchodní společnosti prohlašuje, že postupovali při</w:t>
      </w:r>
      <w:r w:rsidR="00972FC1">
        <w:t> </w:t>
      </w:r>
      <w:r w:rsidRPr="00083372">
        <w:t>shromáždění těchto údajů a informací s péčí řádného hospodáře.</w:t>
      </w:r>
    </w:p>
    <w:p w14:paraId="482FFD81" w14:textId="77777777" w:rsidR="008F1485" w:rsidRPr="00083372" w:rsidRDefault="008F1485" w:rsidP="008F1485">
      <w:pPr>
        <w:spacing w:after="0" w:line="240" w:lineRule="auto"/>
        <w:jc w:val="both"/>
      </w:pPr>
      <w:r w:rsidRPr="00083372">
        <w:t> </w:t>
      </w:r>
    </w:p>
    <w:p w14:paraId="741D233D" w14:textId="77777777" w:rsidR="008F1485" w:rsidRPr="00083372" w:rsidRDefault="008F1485" w:rsidP="008F1485">
      <w:pPr>
        <w:spacing w:after="0" w:line="240" w:lineRule="auto"/>
        <w:jc w:val="both"/>
        <w:rPr>
          <w:b/>
          <w:bCs/>
        </w:rPr>
      </w:pPr>
      <w:r w:rsidRPr="00083372">
        <w:rPr>
          <w:b/>
          <w:bCs/>
        </w:rPr>
        <w:t xml:space="preserve">5. PŘEZKOUMÁNÍ ZPRÁVY DOZORČÍ RADOU </w:t>
      </w:r>
    </w:p>
    <w:p w14:paraId="1CDDD226" w14:textId="77777777" w:rsidR="008F1485" w:rsidRPr="00083372" w:rsidRDefault="008F1485" w:rsidP="008F1485">
      <w:pPr>
        <w:spacing w:after="0" w:line="240" w:lineRule="auto"/>
        <w:jc w:val="both"/>
      </w:pPr>
      <w:r w:rsidRPr="00083372">
        <w:rPr>
          <w:b/>
          <w:bCs/>
        </w:rPr>
        <w:t> </w:t>
      </w:r>
    </w:p>
    <w:p w14:paraId="04D3C05E" w14:textId="77777777" w:rsidR="008F1485" w:rsidRPr="00083372" w:rsidRDefault="008F1485" w:rsidP="008F1485">
      <w:pPr>
        <w:spacing w:after="0" w:line="240" w:lineRule="auto"/>
        <w:jc w:val="both"/>
      </w:pPr>
      <w:r w:rsidRPr="00083372">
        <w:t xml:space="preserve">Dozorčí </w:t>
      </w:r>
      <w:r w:rsidR="0088148B" w:rsidRPr="00083372">
        <w:t xml:space="preserve">rada společnosti Český porcelán a.s. </w:t>
      </w:r>
      <w:r w:rsidRPr="00083372">
        <w:t>p</w:t>
      </w:r>
      <w:r w:rsidR="0041529D" w:rsidRPr="00083372">
        <w:t>řezkoum</w:t>
      </w:r>
      <w:r w:rsidR="0088148B" w:rsidRPr="00083372">
        <w:t>ala</w:t>
      </w:r>
      <w:r w:rsidR="0041529D" w:rsidRPr="00083372">
        <w:t xml:space="preserve"> zprávu o vztazích</w:t>
      </w:r>
      <w:r w:rsidR="0088148B" w:rsidRPr="00083372">
        <w:t xml:space="preserve"> mezi propojenými osobami.</w:t>
      </w:r>
    </w:p>
    <w:p w14:paraId="4A879157" w14:textId="77777777" w:rsidR="008F1485" w:rsidRPr="00083372" w:rsidRDefault="008F1485" w:rsidP="008F1485">
      <w:pPr>
        <w:spacing w:after="0" w:line="240" w:lineRule="auto"/>
        <w:jc w:val="both"/>
      </w:pPr>
      <w:r w:rsidRPr="00083372">
        <w:t> </w:t>
      </w:r>
    </w:p>
    <w:p w14:paraId="4DDFA37A" w14:textId="77777777" w:rsidR="008F1485" w:rsidRPr="00083372" w:rsidRDefault="008F1485" w:rsidP="008F1485">
      <w:pPr>
        <w:spacing w:after="0" w:line="240" w:lineRule="auto"/>
        <w:jc w:val="both"/>
      </w:pPr>
      <w:r w:rsidRPr="00083372">
        <w:t> </w:t>
      </w:r>
    </w:p>
    <w:p w14:paraId="178F563D" w14:textId="77777777" w:rsidR="0088148B" w:rsidRPr="00083372" w:rsidRDefault="0088148B" w:rsidP="008F1485">
      <w:pPr>
        <w:spacing w:after="0" w:line="240" w:lineRule="auto"/>
        <w:jc w:val="both"/>
      </w:pPr>
      <w:r w:rsidRPr="00083372">
        <w:t> </w:t>
      </w:r>
    </w:p>
    <w:p w14:paraId="70EC309B" w14:textId="77777777" w:rsidR="008F1485" w:rsidRPr="00083372" w:rsidRDefault="008F1485" w:rsidP="008F1485">
      <w:pPr>
        <w:spacing w:after="0" w:line="240" w:lineRule="auto"/>
        <w:jc w:val="both"/>
      </w:pPr>
      <w:r w:rsidRPr="00083372">
        <w:t xml:space="preserve"> V Dubí dne </w:t>
      </w:r>
      <w:r w:rsidR="00D15DB7" w:rsidRPr="00083372">
        <w:t>31</w:t>
      </w:r>
      <w:r w:rsidR="0088148B" w:rsidRPr="00083372">
        <w:t>.</w:t>
      </w:r>
      <w:r w:rsidRPr="00083372">
        <w:t xml:space="preserve"> 0</w:t>
      </w:r>
      <w:r w:rsidR="00D15DB7" w:rsidRPr="00083372">
        <w:t>5</w:t>
      </w:r>
      <w:r w:rsidRPr="00083372">
        <w:t xml:space="preserve">. </w:t>
      </w:r>
      <w:r w:rsidR="00D15DB7" w:rsidRPr="00083372">
        <w:t>2020</w:t>
      </w:r>
    </w:p>
    <w:p w14:paraId="3011B155" w14:textId="77777777" w:rsidR="008F1485" w:rsidRPr="00083372" w:rsidRDefault="008F1485" w:rsidP="008F1485">
      <w:pPr>
        <w:spacing w:after="0" w:line="240" w:lineRule="auto"/>
        <w:jc w:val="both"/>
      </w:pPr>
      <w:r w:rsidRPr="00083372">
        <w:t> </w:t>
      </w:r>
    </w:p>
    <w:p w14:paraId="31CCC9A5" w14:textId="77777777" w:rsidR="008F1485" w:rsidRPr="00083372" w:rsidRDefault="008F1485" w:rsidP="008F1485">
      <w:pPr>
        <w:spacing w:after="0" w:line="240" w:lineRule="auto"/>
        <w:jc w:val="both"/>
      </w:pPr>
      <w:r w:rsidRPr="00083372">
        <w:t> </w:t>
      </w:r>
    </w:p>
    <w:p w14:paraId="18608886" w14:textId="77777777" w:rsidR="0088148B" w:rsidRPr="00083372" w:rsidRDefault="0088148B" w:rsidP="008F1485">
      <w:pPr>
        <w:spacing w:after="0" w:line="240" w:lineRule="auto"/>
        <w:jc w:val="both"/>
      </w:pPr>
      <w:r w:rsidRPr="00083372">
        <w:t> </w:t>
      </w:r>
    </w:p>
    <w:p w14:paraId="4A623E64" w14:textId="77777777" w:rsidR="008F1485" w:rsidRPr="00083372" w:rsidRDefault="008F1485" w:rsidP="008F1485">
      <w:pPr>
        <w:spacing w:after="0" w:line="240" w:lineRule="auto"/>
        <w:jc w:val="both"/>
      </w:pPr>
      <w:r w:rsidRPr="00083372">
        <w:rPr>
          <w:b/>
          <w:bCs/>
        </w:rPr>
        <w:t>Představenstvo společnosti Český porcelán, a. s.</w:t>
      </w:r>
      <w:r w:rsidRPr="00083372">
        <w:t xml:space="preserve"> </w:t>
      </w:r>
    </w:p>
    <w:p w14:paraId="360067A2" w14:textId="77777777" w:rsidR="008F1485" w:rsidRPr="00083372" w:rsidRDefault="008F1485" w:rsidP="008F1485">
      <w:pPr>
        <w:spacing w:after="0" w:line="240" w:lineRule="auto"/>
        <w:jc w:val="both"/>
      </w:pPr>
      <w:r w:rsidRPr="00083372">
        <w:rPr>
          <w:b/>
          <w:bCs/>
        </w:rPr>
        <w:t> </w:t>
      </w:r>
    </w:p>
    <w:p w14:paraId="48947B82" w14:textId="77777777" w:rsidR="008F1485" w:rsidRPr="00083372" w:rsidRDefault="008F1485" w:rsidP="008F1485">
      <w:pPr>
        <w:spacing w:after="0" w:line="240" w:lineRule="auto"/>
        <w:jc w:val="both"/>
      </w:pPr>
      <w:r w:rsidRPr="00083372">
        <w:t xml:space="preserve">Ing. Vladimír </w:t>
      </w:r>
      <w:proofErr w:type="spellStart"/>
      <w:r w:rsidRPr="00083372">
        <w:t>Feix</w:t>
      </w:r>
      <w:proofErr w:type="spellEnd"/>
      <w:r w:rsidRPr="00083372">
        <w:t>, dr. h. c., předseda představenstva</w:t>
      </w:r>
    </w:p>
    <w:p w14:paraId="0352F2E9" w14:textId="77777777" w:rsidR="008F1485" w:rsidRPr="00083372" w:rsidRDefault="008F1485" w:rsidP="008F1485">
      <w:pPr>
        <w:spacing w:after="0" w:line="240" w:lineRule="auto"/>
        <w:jc w:val="both"/>
      </w:pPr>
      <w:r w:rsidRPr="00083372">
        <w:t> </w:t>
      </w:r>
    </w:p>
    <w:p w14:paraId="203D8F77" w14:textId="77777777" w:rsidR="008F1485" w:rsidRPr="00083372" w:rsidRDefault="008F1485" w:rsidP="008F1485">
      <w:pPr>
        <w:spacing w:after="0" w:line="240" w:lineRule="auto"/>
        <w:jc w:val="both"/>
      </w:pPr>
      <w:r w:rsidRPr="00083372">
        <w:t xml:space="preserve">Ing. Radislav </w:t>
      </w:r>
      <w:proofErr w:type="spellStart"/>
      <w:r w:rsidRPr="00083372">
        <w:t>Feix</w:t>
      </w:r>
      <w:proofErr w:type="spellEnd"/>
      <w:r w:rsidRPr="00083372">
        <w:t xml:space="preserve">, </w:t>
      </w:r>
      <w:proofErr w:type="spellStart"/>
      <w:r w:rsidRPr="00083372">
        <w:t>Ph</w:t>
      </w:r>
      <w:proofErr w:type="spellEnd"/>
      <w:r w:rsidRPr="00083372">
        <w:t>. D., místopředseda představenstva</w:t>
      </w:r>
    </w:p>
    <w:p w14:paraId="74B59242" w14:textId="77777777" w:rsidR="008F1485" w:rsidRPr="00083372" w:rsidRDefault="008F1485" w:rsidP="008F1485">
      <w:pPr>
        <w:spacing w:after="0" w:line="240" w:lineRule="auto"/>
        <w:jc w:val="both"/>
      </w:pPr>
      <w:r w:rsidRPr="00083372">
        <w:t> </w:t>
      </w:r>
    </w:p>
    <w:p w14:paraId="74B8F080" w14:textId="77777777" w:rsidR="008F1485" w:rsidRPr="00083372" w:rsidRDefault="008F1485" w:rsidP="008F1485">
      <w:pPr>
        <w:spacing w:after="0" w:line="240" w:lineRule="auto"/>
        <w:jc w:val="both"/>
      </w:pPr>
      <w:r w:rsidRPr="00083372">
        <w:t>Ing. Petr Bednář CSc., člen představenstva</w:t>
      </w:r>
    </w:p>
    <w:p w14:paraId="75EF4885" w14:textId="77777777" w:rsidR="00636464" w:rsidRPr="00083372" w:rsidRDefault="00636464" w:rsidP="008F1485">
      <w:pPr>
        <w:pStyle w:val="Zkladntext"/>
      </w:pPr>
    </w:p>
    <w:p w14:paraId="77BE176A" w14:textId="77777777" w:rsidR="003D4827" w:rsidRPr="00083372" w:rsidRDefault="00134681" w:rsidP="003D4827">
      <w:pPr>
        <w:pStyle w:val="Nadpis1"/>
        <w:rPr>
          <w:color w:val="auto"/>
        </w:rPr>
      </w:pPr>
      <w:r w:rsidRPr="00083372">
        <w:rPr>
          <w:color w:val="auto"/>
        </w:rPr>
        <w:br w:type="page"/>
      </w:r>
    </w:p>
    <w:p w14:paraId="52953C83" w14:textId="77777777" w:rsidR="006844C9" w:rsidRPr="00F86634" w:rsidRDefault="00134681" w:rsidP="003D4827">
      <w:pPr>
        <w:pStyle w:val="Nadpis1"/>
        <w:rPr>
          <w:color w:val="365F91" w:themeColor="accent1" w:themeShade="BF"/>
        </w:rPr>
      </w:pPr>
      <w:bookmarkStart w:id="6" w:name="_Toc45113406"/>
      <w:r w:rsidRPr="00F86634">
        <w:rPr>
          <w:color w:val="365F91" w:themeColor="accent1" w:themeShade="BF"/>
        </w:rPr>
        <w:lastRenderedPageBreak/>
        <w:t>VYJÁDŘENÍ DOZORČÍ RADY</w:t>
      </w:r>
      <w:bookmarkEnd w:id="6"/>
    </w:p>
    <w:p w14:paraId="423F42EF" w14:textId="77777777" w:rsidR="00487755" w:rsidRPr="00487755" w:rsidRDefault="00487755" w:rsidP="00487755"/>
    <w:p w14:paraId="0FF7A065" w14:textId="77777777" w:rsidR="00487755" w:rsidRPr="00083372" w:rsidRDefault="00487755" w:rsidP="0031237E">
      <w:pPr>
        <w:spacing w:after="0" w:line="240" w:lineRule="auto"/>
        <w:jc w:val="both"/>
        <w:rPr>
          <w:b/>
        </w:rPr>
      </w:pPr>
      <w:r w:rsidRPr="00083372">
        <w:rPr>
          <w:b/>
        </w:rPr>
        <w:t xml:space="preserve">ZPRÁVA O KONTROLNÍ ČINNOSTI DOZORČÍ RADY SPOLEČNOSTI ČESKÝ PORCELÁN, </w:t>
      </w:r>
    </w:p>
    <w:p w14:paraId="29D106CE" w14:textId="77777777" w:rsidR="00487755" w:rsidRPr="00083372" w:rsidRDefault="00487755" w:rsidP="0031237E">
      <w:pPr>
        <w:jc w:val="both"/>
        <w:rPr>
          <w:b/>
        </w:rPr>
      </w:pPr>
      <w:r w:rsidRPr="00083372">
        <w:rPr>
          <w:b/>
        </w:rPr>
        <w:t>AKCIOVÁ SPOLEČNOST ZA ROK 201</w:t>
      </w:r>
      <w:r w:rsidR="006C1D29" w:rsidRPr="00083372">
        <w:rPr>
          <w:b/>
        </w:rPr>
        <w:t>9</w:t>
      </w:r>
    </w:p>
    <w:p w14:paraId="52FEC495" w14:textId="77777777" w:rsidR="00487755" w:rsidRPr="00083372" w:rsidRDefault="00487755" w:rsidP="00487755">
      <w:pPr>
        <w:spacing w:after="0" w:line="240" w:lineRule="auto"/>
        <w:jc w:val="both"/>
      </w:pPr>
      <w:r w:rsidRPr="00083372">
        <w:t>Dozorčí rada v souladu s ustanoveními Zákona o obchodních</w:t>
      </w:r>
      <w:r w:rsidR="00972FC1">
        <w:t xml:space="preserve"> společnostech a družstev § 446 </w:t>
      </w:r>
      <w:r w:rsidRPr="00083372">
        <w:t>odst. 1 dohlížela na výkon působnosti představenstva. Průběžně se zabývala kontrolou realizace a uskutečňování podnikatelské činnosti společnosti pro rok 201</w:t>
      </w:r>
      <w:r w:rsidR="006C1D29" w:rsidRPr="00083372">
        <w:t>9</w:t>
      </w:r>
      <w:r w:rsidRPr="00083372">
        <w:t xml:space="preserve"> a hospodářských výsledků v jednotlivých měsících roku. Součástí kontroly bylo i posuzování, zda jsou podnikatelské aktivity realizovány v souladu s platnými právními předpisy.</w:t>
      </w:r>
    </w:p>
    <w:p w14:paraId="12C8675E" w14:textId="77777777" w:rsidR="00487755" w:rsidRPr="00083372" w:rsidRDefault="00487755" w:rsidP="00487755">
      <w:pPr>
        <w:spacing w:after="0" w:line="240" w:lineRule="auto"/>
        <w:jc w:val="both"/>
      </w:pPr>
    </w:p>
    <w:p w14:paraId="2D322F75" w14:textId="77777777" w:rsidR="00487755" w:rsidRPr="00083372" w:rsidRDefault="00487755" w:rsidP="00487755">
      <w:pPr>
        <w:spacing w:after="0" w:line="240" w:lineRule="auto"/>
        <w:jc w:val="both"/>
      </w:pPr>
      <w:r w:rsidRPr="00083372">
        <w:t>Dozorčí rada nezjistila v podnikatelské činnosti společnosti žádné protiprávní jednání odpovědných vedoucích zaměstnanců. Ve společnosti nebyla podána v roce 201</w:t>
      </w:r>
      <w:r w:rsidR="006C1D29" w:rsidRPr="00083372">
        <w:t>9</w:t>
      </w:r>
      <w:r w:rsidRPr="00083372">
        <w:t xml:space="preserve"> žádná stížnost, ani z let minulých nejsou v evidenci žádné nevyřízené stížnosti. V souladu s § 83 zákona o obchodních korporacích přezkoumala zprávu představenstva o vztazích a neshledala žádné porušení zákona.</w:t>
      </w:r>
    </w:p>
    <w:p w14:paraId="795358B8" w14:textId="77777777" w:rsidR="00487755" w:rsidRPr="00083372" w:rsidRDefault="00487755" w:rsidP="00487755">
      <w:pPr>
        <w:spacing w:after="0" w:line="240" w:lineRule="auto"/>
        <w:jc w:val="both"/>
      </w:pPr>
    </w:p>
    <w:p w14:paraId="0D7F740C" w14:textId="77777777" w:rsidR="00487755" w:rsidRPr="00083372" w:rsidRDefault="00487755" w:rsidP="00487755">
      <w:pPr>
        <w:spacing w:after="0" w:line="240" w:lineRule="auto"/>
        <w:jc w:val="both"/>
      </w:pPr>
      <w:r w:rsidRPr="00083372">
        <w:t>Dozorčí rada se průběžně na svých zasedáních seznamov</w:t>
      </w:r>
      <w:r w:rsidR="00972FC1">
        <w:t>ala s hospodářskými výsledky za </w:t>
      </w:r>
      <w:r w:rsidRPr="00083372">
        <w:t xml:space="preserve">každý daný měsíc a je nutné konstatovat, že přes všechny neovlivnitelné vlivy vnějšího podnikatelského prostředí v odbytu výrobků se vedení společnosti důslednou kontrolou </w:t>
      </w:r>
      <w:r w:rsidR="0021099E" w:rsidRPr="00083372">
        <w:t xml:space="preserve">nákladů a vymáháním pohledávek </w:t>
      </w:r>
      <w:r w:rsidRPr="00083372">
        <w:t>podařilo, že si společnost ne</w:t>
      </w:r>
      <w:r w:rsidR="00972FC1">
        <w:t>musela vzít žádný úvěr tzn., že </w:t>
      </w:r>
      <w:r w:rsidRPr="00083372">
        <w:t>se samofinancovala. I přes všechna vynaložená úsilí akciová společnost vykázala za rok 201</w:t>
      </w:r>
      <w:r w:rsidR="006C1D29" w:rsidRPr="00083372">
        <w:t xml:space="preserve">9 ztrátu před </w:t>
      </w:r>
      <w:r w:rsidRPr="00083372">
        <w:t>zdanění</w:t>
      </w:r>
      <w:r w:rsidR="006C1D29" w:rsidRPr="00083372">
        <w:t>m</w:t>
      </w:r>
      <w:r w:rsidRPr="00083372">
        <w:t xml:space="preserve"> ve výši </w:t>
      </w:r>
      <w:r w:rsidR="006C1D29" w:rsidRPr="00083372">
        <w:t xml:space="preserve">19 166 </w:t>
      </w:r>
      <w:r w:rsidR="00783FA7" w:rsidRPr="00083372">
        <w:t>619</w:t>
      </w:r>
      <w:r w:rsidRPr="00083372">
        <w:t>,- Kč.</w:t>
      </w:r>
    </w:p>
    <w:p w14:paraId="6D93A4BB" w14:textId="77777777" w:rsidR="00487755" w:rsidRPr="00083372" w:rsidRDefault="00487755" w:rsidP="00487755">
      <w:pPr>
        <w:spacing w:after="0" w:line="240" w:lineRule="auto"/>
        <w:jc w:val="both"/>
      </w:pPr>
    </w:p>
    <w:p w14:paraId="542398DC" w14:textId="77777777" w:rsidR="00487755" w:rsidRPr="00083372" w:rsidRDefault="00487755" w:rsidP="00487755">
      <w:pPr>
        <w:spacing w:after="0" w:line="240" w:lineRule="auto"/>
        <w:jc w:val="both"/>
      </w:pPr>
      <w:r w:rsidRPr="00083372">
        <w:t>Dozorčí rada přezkoumala v souladu s § 447 odst. 3, Zákona o obchodních společnostech a družstev, řádnou účetní závěrku za rok 201</w:t>
      </w:r>
      <w:r w:rsidR="006C1D29" w:rsidRPr="00083372">
        <w:t>9</w:t>
      </w:r>
      <w:r w:rsidRPr="00083372">
        <w:t>. Její vyjádření k výsledkům přezkoumání závěrky a ke způsobu vypořádání výsledku hospodaření je součástí výroční zprávy, kterou mají akcionáři k dispozici.</w:t>
      </w:r>
    </w:p>
    <w:p w14:paraId="74AC24BB" w14:textId="77777777" w:rsidR="00487755" w:rsidRPr="00083372" w:rsidRDefault="00487755" w:rsidP="00487755">
      <w:pPr>
        <w:spacing w:after="0" w:line="240" w:lineRule="auto"/>
        <w:jc w:val="both"/>
      </w:pPr>
    </w:p>
    <w:p w14:paraId="0B0A20F5" w14:textId="77777777" w:rsidR="00487755" w:rsidRPr="00083372" w:rsidRDefault="00487755" w:rsidP="00487755">
      <w:pPr>
        <w:spacing w:after="0" w:line="240" w:lineRule="auto"/>
        <w:jc w:val="both"/>
      </w:pPr>
      <w:r w:rsidRPr="00083372">
        <w:t>Dozorčí rada navrhuje valné hromadě schválit roční účetní závěrku a vypořádání hospodářského výsledku za rok 201</w:t>
      </w:r>
      <w:r w:rsidR="006C1D29" w:rsidRPr="00083372">
        <w:t>9</w:t>
      </w:r>
      <w:r w:rsidRPr="00083372">
        <w:t xml:space="preserve"> ve znění jak bylo předloženo.</w:t>
      </w:r>
    </w:p>
    <w:p w14:paraId="1E9F16C5" w14:textId="77777777" w:rsidR="00487755" w:rsidRPr="00083372" w:rsidRDefault="00487755" w:rsidP="00487755">
      <w:pPr>
        <w:spacing w:after="0" w:line="240" w:lineRule="auto"/>
        <w:jc w:val="both"/>
      </w:pPr>
    </w:p>
    <w:p w14:paraId="58394D25" w14:textId="77777777" w:rsidR="00487755" w:rsidRPr="00083372" w:rsidRDefault="00487755" w:rsidP="00487755">
      <w:pPr>
        <w:spacing w:after="0" w:line="240" w:lineRule="auto"/>
        <w:jc w:val="both"/>
      </w:pPr>
      <w:r w:rsidRPr="00083372">
        <w:t>Z podnikatelského plánu na rok 201</w:t>
      </w:r>
      <w:r w:rsidR="000112E4" w:rsidRPr="00083372">
        <w:t>9</w:t>
      </w:r>
      <w:r w:rsidRPr="00083372">
        <w:t xml:space="preserve"> vyplývá </w:t>
      </w:r>
      <w:r w:rsidR="000112E4" w:rsidRPr="00083372">
        <w:t xml:space="preserve">plánovaná ztráta </w:t>
      </w:r>
      <w:r w:rsidRPr="00083372">
        <w:t>výsled</w:t>
      </w:r>
      <w:r w:rsidR="000112E4" w:rsidRPr="00083372">
        <w:t xml:space="preserve">ku hospodaření ve výši </w:t>
      </w:r>
      <w:r w:rsidR="006C1D29" w:rsidRPr="00083372">
        <w:t>8 082 694</w:t>
      </w:r>
      <w:r w:rsidR="000112E4" w:rsidRPr="00083372">
        <w:t>,- Kč., D</w:t>
      </w:r>
      <w:r w:rsidRPr="00083372">
        <w:t xml:space="preserve">ozorčí rada </w:t>
      </w:r>
      <w:r w:rsidR="000112E4" w:rsidRPr="00083372">
        <w:t xml:space="preserve">doporučuje </w:t>
      </w:r>
      <w:r w:rsidRPr="00083372">
        <w:t>vedení společnosti,</w:t>
      </w:r>
      <w:r w:rsidR="000112E4" w:rsidRPr="00083372">
        <w:t xml:space="preserve"> co nejdůsledněji kontrolovat a </w:t>
      </w:r>
      <w:r w:rsidRPr="00083372">
        <w:t xml:space="preserve">operativně reagovat na vnější </w:t>
      </w:r>
      <w:r w:rsidR="000112E4" w:rsidRPr="00083372">
        <w:t>i vnitřní ukazatele</w:t>
      </w:r>
      <w:r w:rsidRPr="00083372">
        <w:t xml:space="preserve">, které působí na společnost a její hospodaření. V případě nutnosti </w:t>
      </w:r>
      <w:r w:rsidR="000112E4" w:rsidRPr="00083372">
        <w:t>z</w:t>
      </w:r>
      <w:r w:rsidRPr="00083372">
        <w:t xml:space="preserve">hodnotit </w:t>
      </w:r>
      <w:r w:rsidR="000112E4" w:rsidRPr="00083372">
        <w:t>personální obsazení jednotlivých úseků a </w:t>
      </w:r>
      <w:r w:rsidRPr="00083372">
        <w:t xml:space="preserve">v pololetí </w:t>
      </w:r>
      <w:r w:rsidR="000112E4" w:rsidRPr="00083372">
        <w:t xml:space="preserve">přehodnotit </w:t>
      </w:r>
      <w:r w:rsidRPr="00083372">
        <w:t xml:space="preserve">podnikatelský záměr se všemi </w:t>
      </w:r>
      <w:r w:rsidR="0004612B" w:rsidRPr="00083372">
        <w:t>důsledky vyplývajícími z úpravy.</w:t>
      </w:r>
    </w:p>
    <w:p w14:paraId="29516C85" w14:textId="77777777" w:rsidR="0004612B" w:rsidRPr="00083372" w:rsidRDefault="0004612B" w:rsidP="00487755">
      <w:pPr>
        <w:spacing w:after="0" w:line="240" w:lineRule="auto"/>
        <w:jc w:val="both"/>
      </w:pPr>
    </w:p>
    <w:p w14:paraId="33BCE942" w14:textId="77777777" w:rsidR="00487755" w:rsidRPr="00083372" w:rsidRDefault="00487755" w:rsidP="00487755">
      <w:pPr>
        <w:spacing w:after="0" w:line="240" w:lineRule="auto"/>
        <w:jc w:val="both"/>
      </w:pPr>
      <w:r w:rsidRPr="00083372">
        <w:t xml:space="preserve">Závěrem členové dozorčí rady přejí akciové společnosti, </w:t>
      </w:r>
      <w:r w:rsidR="00CB56E8" w:rsidRPr="00083372">
        <w:t xml:space="preserve">jejím akcionářům a zaměstnancům </w:t>
      </w:r>
      <w:r w:rsidRPr="00083372">
        <w:t>hodně úspěchů v dalším období.</w:t>
      </w:r>
    </w:p>
    <w:p w14:paraId="714D52A1" w14:textId="77777777" w:rsidR="00487755" w:rsidRPr="00083372" w:rsidRDefault="00487755" w:rsidP="00487755">
      <w:pPr>
        <w:spacing w:after="0" w:line="240" w:lineRule="auto"/>
      </w:pPr>
    </w:p>
    <w:p w14:paraId="3E67D988" w14:textId="77777777" w:rsidR="00487755" w:rsidRPr="00083372" w:rsidRDefault="00487755" w:rsidP="00487755">
      <w:pPr>
        <w:spacing w:after="0" w:line="240" w:lineRule="auto"/>
      </w:pPr>
      <w:r w:rsidRPr="00083372">
        <w:t xml:space="preserve">V Dubí dne </w:t>
      </w:r>
      <w:r w:rsidR="006C1D29" w:rsidRPr="00083372">
        <w:t>02</w:t>
      </w:r>
      <w:r w:rsidRPr="00083372">
        <w:t>. 0</w:t>
      </w:r>
      <w:r w:rsidR="006C1D29" w:rsidRPr="00083372">
        <w:t>7</w:t>
      </w:r>
      <w:r w:rsidRPr="00083372">
        <w:t xml:space="preserve">. </w:t>
      </w:r>
      <w:r w:rsidR="006C1D29" w:rsidRPr="00083372">
        <w:t>20</w:t>
      </w:r>
      <w:r w:rsidR="00EE4577" w:rsidRPr="00083372">
        <w:t>20</w:t>
      </w:r>
      <w:r w:rsidR="006C1D29" w:rsidRPr="00083372">
        <w:tab/>
      </w:r>
      <w:r w:rsidRPr="00083372">
        <w:tab/>
      </w:r>
      <w:r w:rsidRPr="00083372">
        <w:tab/>
      </w:r>
      <w:r w:rsidRPr="00083372">
        <w:tab/>
      </w:r>
      <w:r w:rsidRPr="00083372">
        <w:tab/>
      </w:r>
      <w:r w:rsidRPr="00083372">
        <w:tab/>
      </w:r>
      <w:r w:rsidR="001718DB" w:rsidRPr="00083372">
        <w:t>Helena Müllerová</w:t>
      </w:r>
    </w:p>
    <w:p w14:paraId="311117BD" w14:textId="77777777" w:rsidR="00487755" w:rsidRPr="00083372" w:rsidRDefault="00487755" w:rsidP="00487755">
      <w:pPr>
        <w:spacing w:after="0" w:line="240" w:lineRule="auto"/>
        <w:ind w:left="5664" w:firstLine="708"/>
      </w:pPr>
      <w:r w:rsidRPr="00083372">
        <w:t>Bc. František Bednář</w:t>
      </w:r>
    </w:p>
    <w:p w14:paraId="77C8859F" w14:textId="77777777" w:rsidR="00487755" w:rsidRPr="00083372" w:rsidRDefault="00487755" w:rsidP="00487755">
      <w:pPr>
        <w:spacing w:after="0" w:line="240" w:lineRule="auto"/>
        <w:ind w:left="5664" w:firstLine="708"/>
      </w:pPr>
      <w:r w:rsidRPr="00083372">
        <w:t>Danuše Vlachová</w:t>
      </w:r>
    </w:p>
    <w:p w14:paraId="62BB2E67" w14:textId="77777777" w:rsidR="00134681" w:rsidRPr="00F86634" w:rsidRDefault="00134681" w:rsidP="00945A6F">
      <w:pPr>
        <w:rPr>
          <w:color w:val="365F91" w:themeColor="accent1" w:themeShade="BF"/>
          <w:sz w:val="52"/>
          <w:szCs w:val="52"/>
        </w:rPr>
      </w:pPr>
      <w:r w:rsidRPr="00F86634">
        <w:rPr>
          <w:color w:val="365F91" w:themeColor="accent1" w:themeShade="BF"/>
          <w:sz w:val="52"/>
          <w:szCs w:val="52"/>
        </w:rPr>
        <w:lastRenderedPageBreak/>
        <w:t>VYJÁDŘENÍ DOZORČÍ RADY</w:t>
      </w:r>
    </w:p>
    <w:p w14:paraId="41F0192F" w14:textId="77777777" w:rsidR="00134681" w:rsidRPr="00083372" w:rsidRDefault="00134681" w:rsidP="00F0635D">
      <w:pPr>
        <w:spacing w:after="0" w:line="240" w:lineRule="auto"/>
        <w:jc w:val="both"/>
        <w:rPr>
          <w:b/>
        </w:rPr>
      </w:pPr>
      <w:r w:rsidRPr="00083372">
        <w:rPr>
          <w:b/>
        </w:rPr>
        <w:t>VYJÁDŘENÍ DOZORČÍ RADY SPOLEČNOSTI ČESKÝ PORCELÁN, AKCIOVÁ SPOLEČNOST DUBÍ, TOVÁRNÍ 605/17, K VÝSLEDKŮM PŘEZKOUMÁNÍ ROČNÍ ÚČETNÍ ZÁVĚRKY K 31.</w:t>
      </w:r>
      <w:r w:rsidR="00F0635D" w:rsidRPr="00083372">
        <w:rPr>
          <w:b/>
        </w:rPr>
        <w:t> </w:t>
      </w:r>
      <w:r w:rsidRPr="00083372">
        <w:rPr>
          <w:b/>
        </w:rPr>
        <w:t>12.</w:t>
      </w:r>
      <w:r w:rsidR="00F0635D" w:rsidRPr="00083372">
        <w:rPr>
          <w:b/>
        </w:rPr>
        <w:t> </w:t>
      </w:r>
      <w:r w:rsidR="006A0C74" w:rsidRPr="00083372">
        <w:rPr>
          <w:b/>
        </w:rPr>
        <w:t>201</w:t>
      </w:r>
      <w:r w:rsidR="00AB1926" w:rsidRPr="00083372">
        <w:rPr>
          <w:b/>
        </w:rPr>
        <w:t>8</w:t>
      </w:r>
      <w:r w:rsidR="006A0C74" w:rsidRPr="00083372">
        <w:rPr>
          <w:b/>
        </w:rPr>
        <w:t xml:space="preserve"> A </w:t>
      </w:r>
      <w:r w:rsidRPr="00083372">
        <w:rPr>
          <w:b/>
        </w:rPr>
        <w:t>NÁVRHU NA VYPOŘÁDÁNÍ HOSPODÁŘSKÉHO VÝSLEDKU.</w:t>
      </w:r>
    </w:p>
    <w:p w14:paraId="3302EBE7" w14:textId="77777777" w:rsidR="00134681" w:rsidRPr="00083372" w:rsidRDefault="00134681" w:rsidP="00134681">
      <w:pPr>
        <w:spacing w:after="0" w:line="240" w:lineRule="auto"/>
      </w:pPr>
    </w:p>
    <w:p w14:paraId="1220CFDE" w14:textId="77777777" w:rsidR="006A0C74" w:rsidRPr="00083372" w:rsidRDefault="006A0C74" w:rsidP="006A0C74">
      <w:pPr>
        <w:spacing w:after="0" w:line="240" w:lineRule="auto"/>
        <w:jc w:val="both"/>
      </w:pPr>
      <w:r w:rsidRPr="00083372">
        <w:t>Dozorčí rada na základě § 447 odst. 3 Nového zákona o obchodních společnostech a družstev a článku 26 odst. 2, písm. b) a c) stanov akciové společnosti přezkoumala roční účetní závěrku a návrh vypořádání hospodářského výsledku za rok 201</w:t>
      </w:r>
      <w:r w:rsidR="00EE4577" w:rsidRPr="00083372">
        <w:t>9</w:t>
      </w:r>
      <w:r w:rsidRPr="00083372">
        <w:t>.</w:t>
      </w:r>
    </w:p>
    <w:p w14:paraId="0FD32E0D" w14:textId="77777777" w:rsidR="00134681" w:rsidRPr="00083372" w:rsidRDefault="00134681" w:rsidP="006A0C74">
      <w:pPr>
        <w:spacing w:after="0" w:line="240" w:lineRule="auto"/>
        <w:jc w:val="both"/>
      </w:pPr>
    </w:p>
    <w:p w14:paraId="339A5741" w14:textId="77777777" w:rsidR="00134681" w:rsidRPr="00083372" w:rsidRDefault="00134681" w:rsidP="006A0C74">
      <w:pPr>
        <w:spacing w:after="0" w:line="240" w:lineRule="auto"/>
        <w:jc w:val="both"/>
      </w:pPr>
      <w:r w:rsidRPr="00083372">
        <w:t>Přezkoumány byly následující doklady a materiály:</w:t>
      </w:r>
    </w:p>
    <w:p w14:paraId="43122ABC" w14:textId="77777777" w:rsidR="006A0C74" w:rsidRPr="00083372" w:rsidRDefault="006A0C74" w:rsidP="006A0C74">
      <w:pPr>
        <w:numPr>
          <w:ilvl w:val="0"/>
          <w:numId w:val="10"/>
        </w:numPr>
        <w:spacing w:after="0" w:line="240" w:lineRule="auto"/>
        <w:jc w:val="both"/>
      </w:pPr>
      <w:r w:rsidRPr="00083372">
        <w:t>Rozvaha k 31. 12. 201</w:t>
      </w:r>
      <w:r w:rsidR="00EE4577" w:rsidRPr="00083372">
        <w:t>9</w:t>
      </w:r>
    </w:p>
    <w:p w14:paraId="2AFE4B22" w14:textId="77777777" w:rsidR="006A0C74" w:rsidRPr="00083372" w:rsidRDefault="006A0C74" w:rsidP="006A0C74">
      <w:pPr>
        <w:numPr>
          <w:ilvl w:val="0"/>
          <w:numId w:val="10"/>
        </w:numPr>
        <w:spacing w:after="0" w:line="240" w:lineRule="auto"/>
        <w:jc w:val="both"/>
      </w:pPr>
      <w:r w:rsidRPr="00083372">
        <w:t>Výkaz zisků a ztrát k 31. 12. 201</w:t>
      </w:r>
      <w:r w:rsidR="00EE4577" w:rsidRPr="00083372">
        <w:t>9</w:t>
      </w:r>
    </w:p>
    <w:p w14:paraId="78953336" w14:textId="77777777" w:rsidR="006A0C74" w:rsidRPr="00083372" w:rsidRDefault="006A0C74" w:rsidP="006A0C74">
      <w:pPr>
        <w:numPr>
          <w:ilvl w:val="0"/>
          <w:numId w:val="10"/>
        </w:numPr>
        <w:spacing w:after="0" w:line="240" w:lineRule="auto"/>
        <w:jc w:val="both"/>
      </w:pPr>
      <w:r w:rsidRPr="00083372">
        <w:t>Příloha k řádné účetní závěrce k 31. 12. 201</w:t>
      </w:r>
      <w:r w:rsidR="00EE4577" w:rsidRPr="00083372">
        <w:t>9</w:t>
      </w:r>
    </w:p>
    <w:p w14:paraId="0EDA92FC" w14:textId="77777777" w:rsidR="006A0C74" w:rsidRPr="00083372" w:rsidRDefault="006A0C74" w:rsidP="006A0C74">
      <w:pPr>
        <w:numPr>
          <w:ilvl w:val="0"/>
          <w:numId w:val="10"/>
        </w:numPr>
        <w:spacing w:after="0" w:line="240" w:lineRule="auto"/>
        <w:jc w:val="both"/>
      </w:pPr>
      <w:r w:rsidRPr="00083372">
        <w:t>Zpráva představenstva o podnikatelské činnosti společ</w:t>
      </w:r>
      <w:r w:rsidR="00972FC1">
        <w:t>nosti a stavu jejího majetku za </w:t>
      </w:r>
      <w:r w:rsidRPr="00083372">
        <w:t>rok 201</w:t>
      </w:r>
      <w:r w:rsidR="00EE4577" w:rsidRPr="00083372">
        <w:t>9</w:t>
      </w:r>
    </w:p>
    <w:p w14:paraId="72458477" w14:textId="77777777" w:rsidR="006A0C74" w:rsidRPr="00083372" w:rsidRDefault="006A0C74" w:rsidP="006A0C74">
      <w:pPr>
        <w:numPr>
          <w:ilvl w:val="0"/>
          <w:numId w:val="10"/>
        </w:numPr>
        <w:spacing w:after="0" w:line="240" w:lineRule="auto"/>
        <w:jc w:val="both"/>
      </w:pPr>
      <w:r w:rsidRPr="00083372">
        <w:t>Zpráva o vztazích mezi ovládající a ovládanou osobou Český porcelán, akciová společnost</w:t>
      </w:r>
    </w:p>
    <w:p w14:paraId="6FF7CEE6" w14:textId="77777777" w:rsidR="006A0C74" w:rsidRPr="00083372" w:rsidRDefault="006A0C74" w:rsidP="006A0C74">
      <w:pPr>
        <w:numPr>
          <w:ilvl w:val="0"/>
          <w:numId w:val="10"/>
        </w:numPr>
        <w:spacing w:after="0" w:line="240" w:lineRule="auto"/>
        <w:jc w:val="both"/>
      </w:pPr>
      <w:r w:rsidRPr="00083372">
        <w:t>Zpráva a výrok auditora Ing. Luboše Marka, registrační číslo 469</w:t>
      </w:r>
    </w:p>
    <w:p w14:paraId="10C94F8F" w14:textId="77777777" w:rsidR="006A0C74" w:rsidRPr="00083372" w:rsidRDefault="006A0C74" w:rsidP="006A0C74">
      <w:pPr>
        <w:numPr>
          <w:ilvl w:val="0"/>
          <w:numId w:val="10"/>
        </w:numPr>
        <w:spacing w:after="0" w:line="240" w:lineRule="auto"/>
        <w:jc w:val="both"/>
      </w:pPr>
      <w:r w:rsidRPr="00083372">
        <w:t>Zpráva o zpracování přiznání daně z příjmu právnic</w:t>
      </w:r>
      <w:r w:rsidR="00972FC1">
        <w:t>kých osob daňového poradce pana </w:t>
      </w:r>
      <w:r w:rsidRPr="00083372">
        <w:t xml:space="preserve">Jaroslava </w:t>
      </w:r>
      <w:proofErr w:type="spellStart"/>
      <w:r w:rsidRPr="00083372">
        <w:t>Brázy</w:t>
      </w:r>
      <w:proofErr w:type="spellEnd"/>
      <w:r w:rsidRPr="00083372">
        <w:t>, evidenční č. 2343</w:t>
      </w:r>
    </w:p>
    <w:p w14:paraId="15FDDA1F" w14:textId="77777777" w:rsidR="006A0C74" w:rsidRPr="00083372" w:rsidRDefault="006A0C74" w:rsidP="006A0C74">
      <w:pPr>
        <w:numPr>
          <w:ilvl w:val="0"/>
          <w:numId w:val="10"/>
        </w:numPr>
        <w:spacing w:after="0" w:line="240" w:lineRule="auto"/>
        <w:jc w:val="both"/>
      </w:pPr>
      <w:r w:rsidRPr="00083372">
        <w:t>Návrh na vypořádání hospodářského výsledku 201</w:t>
      </w:r>
      <w:r w:rsidR="00EE4577" w:rsidRPr="00083372">
        <w:t>9</w:t>
      </w:r>
    </w:p>
    <w:p w14:paraId="46A5A171" w14:textId="07560BE0" w:rsidR="006A0C74" w:rsidRPr="00083372" w:rsidRDefault="006A0C74" w:rsidP="006A0C74">
      <w:pPr>
        <w:spacing w:after="0" w:line="240" w:lineRule="auto"/>
        <w:ind w:left="720"/>
        <w:jc w:val="both"/>
      </w:pPr>
      <w:r w:rsidRPr="00083372">
        <w:t>Hospodářský výsledek za rok 201</w:t>
      </w:r>
      <w:r w:rsidR="00EE4577" w:rsidRPr="00083372">
        <w:t>9</w:t>
      </w:r>
      <w:r w:rsidR="00AB1926" w:rsidRPr="00083372">
        <w:t xml:space="preserve"> vykazoval </w:t>
      </w:r>
      <w:r w:rsidR="00C33361">
        <w:t>ztrátu</w:t>
      </w:r>
      <w:r w:rsidRPr="00083372">
        <w:t xml:space="preserve"> </w:t>
      </w:r>
      <w:r w:rsidR="00AB1926" w:rsidRPr="00083372">
        <w:t xml:space="preserve">před </w:t>
      </w:r>
      <w:r w:rsidRPr="00083372">
        <w:t xml:space="preserve">zdanění </w:t>
      </w:r>
      <w:r w:rsidR="005C7726" w:rsidRPr="00083372">
        <w:t xml:space="preserve">19 166 </w:t>
      </w:r>
      <w:r w:rsidR="00783FA7" w:rsidRPr="00083372">
        <w:t>619</w:t>
      </w:r>
      <w:r w:rsidRPr="00083372">
        <w:t xml:space="preserve">,- Kč, dozorčí rada souhlasí s návrhem </w:t>
      </w:r>
      <w:r w:rsidR="00AB1926" w:rsidRPr="00083372">
        <w:t>rozdělení zisku</w:t>
      </w:r>
      <w:r w:rsidRPr="00083372">
        <w:t xml:space="preserve"> v předloženém znění.</w:t>
      </w:r>
    </w:p>
    <w:p w14:paraId="5B2F3F25" w14:textId="77777777" w:rsidR="006A0C74" w:rsidRPr="00083372" w:rsidRDefault="006A0C74" w:rsidP="006A0C74">
      <w:pPr>
        <w:spacing w:after="0" w:line="240" w:lineRule="auto"/>
        <w:ind w:left="720"/>
        <w:jc w:val="both"/>
      </w:pPr>
    </w:p>
    <w:p w14:paraId="3E965924" w14:textId="77777777" w:rsidR="006A0C74" w:rsidRPr="00083372" w:rsidRDefault="006A0C74" w:rsidP="006A0C74">
      <w:pPr>
        <w:pStyle w:val="Zkladntextodsazen"/>
        <w:ind w:left="0"/>
        <w:jc w:val="both"/>
      </w:pPr>
      <w:r w:rsidRPr="00083372">
        <w:t>Po přezkoumání uvedených dokladů dozorčí rada prohlašuje, že neshledala žádné skutečnosti zpochybňující hospodářské výsledky akciové společnosti Český porcelán, akciová společnost, vykázané v řádné roční účetní závěrce k 31. 12. 201</w:t>
      </w:r>
      <w:r w:rsidR="005C7726" w:rsidRPr="00083372">
        <w:t>9</w:t>
      </w:r>
      <w:r w:rsidRPr="00083372">
        <w:t xml:space="preserve">. Účetní závěrka je sestavena v souladu s § 7 odst. 1 zákona o účetnictví a rovněž s obecně závaznými předpisy tak, že podává věrný a poctivý obraz předmětu účetnictví a finanční situace společnosti. </w:t>
      </w:r>
    </w:p>
    <w:p w14:paraId="28E686BB" w14:textId="77777777" w:rsidR="006A0C74" w:rsidRPr="00083372" w:rsidRDefault="006A0C74" w:rsidP="006A0C74">
      <w:pPr>
        <w:pStyle w:val="Zkladntextodsazen"/>
        <w:ind w:left="0"/>
        <w:jc w:val="both"/>
      </w:pPr>
      <w:r w:rsidRPr="00083372">
        <w:t>V souladu s § 83 zákona o obchodních korporacích přezkoumala představenstvem vypracovanou zprávu o vztazích a dozorčí rada neshledala žádné pochybení ani porušení zákona.</w:t>
      </w:r>
    </w:p>
    <w:p w14:paraId="2ECB86CE" w14:textId="77777777" w:rsidR="006A0C74" w:rsidRPr="00083372" w:rsidRDefault="006A0C74" w:rsidP="006A0C74">
      <w:pPr>
        <w:pStyle w:val="Zkladntextodsazen"/>
        <w:ind w:left="0"/>
        <w:jc w:val="both"/>
      </w:pPr>
      <w:r w:rsidRPr="00083372">
        <w:t xml:space="preserve">Zpráva auditora k roční účetní závěrce je bez výhrad </w:t>
      </w:r>
    </w:p>
    <w:p w14:paraId="50FF62A1" w14:textId="77777777" w:rsidR="006A0C74" w:rsidRPr="00083372" w:rsidRDefault="006A0C74" w:rsidP="006A0C74">
      <w:pPr>
        <w:pStyle w:val="Zkladntextodsazen"/>
        <w:ind w:left="0"/>
        <w:jc w:val="both"/>
      </w:pPr>
      <w:r w:rsidRPr="00083372">
        <w:t>Na základě shora uvedeného, dozorčí rada doporučuje valné hromadě schválit roční účetní závěrku, zprávu představenstva o podnikatelské činnosti spole</w:t>
      </w:r>
      <w:r w:rsidR="00972FC1">
        <w:t>čnosti a o stavu majetku za rok </w:t>
      </w:r>
      <w:r w:rsidRPr="00083372">
        <w:t>201</w:t>
      </w:r>
      <w:r w:rsidR="005C7726" w:rsidRPr="00083372">
        <w:t>9</w:t>
      </w:r>
      <w:r w:rsidRPr="00083372">
        <w:t xml:space="preserve"> a návrh na vypořádání </w:t>
      </w:r>
      <w:r w:rsidR="00AB1926" w:rsidRPr="00083372">
        <w:t>zisku</w:t>
      </w:r>
      <w:r w:rsidRPr="00083372">
        <w:t xml:space="preserve"> hospodářského výsledku společnosti za rok 201</w:t>
      </w:r>
      <w:r w:rsidR="00AB1926" w:rsidRPr="00083372">
        <w:t>8</w:t>
      </w:r>
      <w:r w:rsidRPr="00083372">
        <w:t>.</w:t>
      </w:r>
    </w:p>
    <w:p w14:paraId="70779380" w14:textId="77777777" w:rsidR="006A0C74" w:rsidRPr="00083372" w:rsidRDefault="006A0C74" w:rsidP="006A0C74">
      <w:pPr>
        <w:pStyle w:val="Zkladntextodsazen"/>
      </w:pPr>
    </w:p>
    <w:p w14:paraId="36628D9C" w14:textId="77777777" w:rsidR="001718DB" w:rsidRPr="00083372" w:rsidRDefault="001718DB" w:rsidP="001718DB">
      <w:pPr>
        <w:spacing w:after="0" w:line="240" w:lineRule="auto"/>
      </w:pPr>
      <w:r w:rsidRPr="00083372">
        <w:t xml:space="preserve">V Dubí dne </w:t>
      </w:r>
      <w:r w:rsidR="00AB1926" w:rsidRPr="00083372">
        <w:t>0</w:t>
      </w:r>
      <w:r w:rsidR="005C7726" w:rsidRPr="00083372">
        <w:t>2. 07</w:t>
      </w:r>
      <w:r w:rsidRPr="00083372">
        <w:t>. 20</w:t>
      </w:r>
      <w:r w:rsidR="005C7726" w:rsidRPr="00083372">
        <w:t>20</w:t>
      </w:r>
      <w:r w:rsidRPr="00083372">
        <w:tab/>
      </w:r>
      <w:r w:rsidRPr="00083372">
        <w:tab/>
      </w:r>
      <w:r w:rsidRPr="00083372">
        <w:tab/>
      </w:r>
      <w:r w:rsidRPr="00083372">
        <w:tab/>
      </w:r>
      <w:r w:rsidRPr="00083372">
        <w:tab/>
      </w:r>
      <w:r w:rsidRPr="00083372">
        <w:tab/>
        <w:t>Helena Müllerová</w:t>
      </w:r>
    </w:p>
    <w:p w14:paraId="7DDF7A1A" w14:textId="77777777" w:rsidR="001718DB" w:rsidRPr="00083372" w:rsidRDefault="001718DB" w:rsidP="001718DB">
      <w:pPr>
        <w:spacing w:after="0" w:line="240" w:lineRule="auto"/>
        <w:ind w:left="5664" w:firstLine="708"/>
      </w:pPr>
      <w:r w:rsidRPr="00083372">
        <w:t>Bc. František Bednář</w:t>
      </w:r>
    </w:p>
    <w:p w14:paraId="015C2EE3" w14:textId="77777777" w:rsidR="001718DB" w:rsidRPr="00083372" w:rsidRDefault="001718DB" w:rsidP="001718DB">
      <w:pPr>
        <w:spacing w:after="0" w:line="240" w:lineRule="auto"/>
        <w:ind w:left="5664" w:firstLine="708"/>
      </w:pPr>
      <w:r w:rsidRPr="00083372">
        <w:t>Danuše Vlachová</w:t>
      </w:r>
    </w:p>
    <w:p w14:paraId="487F5C42" w14:textId="77777777" w:rsidR="00EE438F" w:rsidRDefault="00EE438F" w:rsidP="00AB1926"/>
    <w:p w14:paraId="590326BE" w14:textId="77777777" w:rsidR="00A26B34" w:rsidRDefault="00A26B34" w:rsidP="00AB1926"/>
    <w:p w14:paraId="68F2395D" w14:textId="77777777" w:rsidR="00A26B34" w:rsidRDefault="00A26B34" w:rsidP="00AB1926"/>
    <w:p w14:paraId="2F8F85AB" w14:textId="77777777" w:rsidR="00A26B34" w:rsidRDefault="00A26B34" w:rsidP="00AB1926"/>
    <w:p w14:paraId="3007C5A4" w14:textId="77777777" w:rsidR="00A26B34" w:rsidRDefault="00A26B34" w:rsidP="00AB1926"/>
    <w:p w14:paraId="3535FA39" w14:textId="77777777" w:rsidR="00A26B34" w:rsidRDefault="00A26B34" w:rsidP="00AB1926"/>
    <w:p w14:paraId="72CD27C8" w14:textId="77777777" w:rsidR="00A26B34" w:rsidRDefault="00A26B34" w:rsidP="00AB1926"/>
    <w:p w14:paraId="437C2402" w14:textId="77777777" w:rsidR="00A26B34" w:rsidRDefault="00A26B34" w:rsidP="00AB1926"/>
    <w:p w14:paraId="0C7E406A" w14:textId="77777777" w:rsidR="00A26B34" w:rsidRDefault="00A26B34" w:rsidP="00AB1926"/>
    <w:p w14:paraId="6279D442" w14:textId="77777777" w:rsidR="00A26B34" w:rsidRDefault="00A26B34" w:rsidP="00AB1926"/>
    <w:p w14:paraId="76D0D931" w14:textId="77777777" w:rsidR="00A26B34" w:rsidRDefault="00A26B34" w:rsidP="00AB1926"/>
    <w:p w14:paraId="4529183F" w14:textId="77777777" w:rsidR="00A26B34" w:rsidRDefault="00A26B34" w:rsidP="00AB1926"/>
    <w:p w14:paraId="54941502" w14:textId="77777777" w:rsidR="00A26B34" w:rsidRDefault="00A26B34" w:rsidP="00AB1926"/>
    <w:p w14:paraId="4FF6CBB0" w14:textId="77777777" w:rsidR="00A26B34" w:rsidRDefault="00A26B34" w:rsidP="00AB1926"/>
    <w:p w14:paraId="49F0F03C" w14:textId="77777777" w:rsidR="00A26B34" w:rsidRDefault="00A26B34" w:rsidP="00AB1926"/>
    <w:p w14:paraId="3B3D0AB5" w14:textId="77777777" w:rsidR="00A26B34" w:rsidRDefault="00A26B34" w:rsidP="00AB1926"/>
    <w:p w14:paraId="2FD0A496" w14:textId="77777777" w:rsidR="00A26B34" w:rsidRPr="00EE438F" w:rsidRDefault="00A26B34" w:rsidP="00AB1926"/>
    <w:p w14:paraId="7246D85E" w14:textId="77777777" w:rsidR="00134681" w:rsidRPr="00F86634" w:rsidRDefault="00134681" w:rsidP="00CE4AE5">
      <w:pPr>
        <w:pStyle w:val="Nadpis1"/>
        <w:rPr>
          <w:color w:val="365F91" w:themeColor="accent1" w:themeShade="BF"/>
        </w:rPr>
      </w:pPr>
      <w:bookmarkStart w:id="7" w:name="_Toc45113407"/>
      <w:r w:rsidRPr="00F86634">
        <w:rPr>
          <w:color w:val="365F91" w:themeColor="accent1" w:themeShade="BF"/>
        </w:rPr>
        <w:t>KONTAKTN</w:t>
      </w:r>
      <w:r w:rsidR="00625380" w:rsidRPr="00F86634">
        <w:rPr>
          <w:color w:val="365F91" w:themeColor="accent1" w:themeShade="BF"/>
        </w:rPr>
        <w:t>Í</w:t>
      </w:r>
      <w:r w:rsidRPr="00F86634">
        <w:rPr>
          <w:color w:val="365F91" w:themeColor="accent1" w:themeShade="BF"/>
        </w:rPr>
        <w:t xml:space="preserve"> INFORMACE</w:t>
      </w:r>
      <w:bookmarkEnd w:id="7"/>
    </w:p>
    <w:p w14:paraId="22E79219" w14:textId="77777777" w:rsidR="00134681" w:rsidRDefault="00134681" w:rsidP="006D0125">
      <w:pPr>
        <w:spacing w:after="0" w:line="240" w:lineRule="auto"/>
      </w:pPr>
    </w:p>
    <w:p w14:paraId="28DC9DFA" w14:textId="77777777" w:rsidR="00134681" w:rsidRDefault="00134681" w:rsidP="006D0125">
      <w:pPr>
        <w:spacing w:after="0" w:line="240" w:lineRule="auto"/>
      </w:pPr>
    </w:p>
    <w:p w14:paraId="32A551F1" w14:textId="77777777" w:rsidR="00EE438F" w:rsidRPr="00636464" w:rsidRDefault="00EE438F" w:rsidP="00EE438F">
      <w:pPr>
        <w:spacing w:after="120" w:line="240" w:lineRule="auto"/>
      </w:pPr>
      <w:r w:rsidRPr="00636464">
        <w:t>Český porcelán, akciová společnost, Tovární 605/17, 417 01 Dubí</w:t>
      </w:r>
    </w:p>
    <w:p w14:paraId="0B456764" w14:textId="77777777" w:rsidR="00EE438F" w:rsidRPr="00636464" w:rsidRDefault="00EE438F" w:rsidP="00EE438F">
      <w:pPr>
        <w:spacing w:after="120" w:line="240" w:lineRule="auto"/>
      </w:pPr>
      <w:r w:rsidRPr="00636464">
        <w:t>Telefon:</w:t>
      </w:r>
      <w:r w:rsidRPr="00636464">
        <w:tab/>
        <w:t xml:space="preserve">+ 420 417 518 111 </w:t>
      </w:r>
    </w:p>
    <w:p w14:paraId="009C1CD5" w14:textId="77777777" w:rsidR="00EE438F" w:rsidRPr="00636464" w:rsidRDefault="00EE438F" w:rsidP="00EE438F">
      <w:pPr>
        <w:spacing w:after="120" w:line="240" w:lineRule="auto"/>
      </w:pPr>
      <w:r w:rsidRPr="00636464">
        <w:t>Fax:</w:t>
      </w:r>
      <w:r w:rsidRPr="00636464">
        <w:tab/>
      </w:r>
      <w:r w:rsidRPr="00636464">
        <w:tab/>
        <w:t>+ 420 417 571 019</w:t>
      </w:r>
    </w:p>
    <w:p w14:paraId="000ABF05" w14:textId="77777777" w:rsidR="00EE438F" w:rsidRPr="00636464" w:rsidRDefault="00C33361" w:rsidP="00EE438F">
      <w:pPr>
        <w:spacing w:after="120" w:line="240" w:lineRule="auto"/>
      </w:pPr>
      <w:hyperlink r:id="rId10" w:history="1">
        <w:r w:rsidR="00EE438F" w:rsidRPr="00636464">
          <w:rPr>
            <w:rStyle w:val="Hypertextovodkaz"/>
            <w:color w:val="auto"/>
          </w:rPr>
          <w:t>www.cesky.porcelan.cz</w:t>
        </w:r>
      </w:hyperlink>
      <w:r w:rsidR="00EE438F" w:rsidRPr="00636464">
        <w:t xml:space="preserve"> </w:t>
      </w:r>
    </w:p>
    <w:p w14:paraId="374ED9AA" w14:textId="77777777" w:rsidR="00EE438F" w:rsidRPr="00636464" w:rsidRDefault="00C33361" w:rsidP="00EE438F">
      <w:pPr>
        <w:spacing w:after="120" w:line="240" w:lineRule="auto"/>
      </w:pPr>
      <w:hyperlink r:id="rId11" w:history="1">
        <w:r w:rsidR="00EE438F" w:rsidRPr="00636464">
          <w:rPr>
            <w:rStyle w:val="Hypertextovodkaz"/>
            <w:color w:val="auto"/>
          </w:rPr>
          <w:t>info@cesky.porcelan.cz</w:t>
        </w:r>
      </w:hyperlink>
      <w:r w:rsidR="00EE438F" w:rsidRPr="00636464">
        <w:t xml:space="preserve"> </w:t>
      </w:r>
    </w:p>
    <w:p w14:paraId="67013298" w14:textId="77777777" w:rsidR="00A26B34" w:rsidRDefault="00A26B34">
      <w:r>
        <w:br w:type="page"/>
      </w:r>
    </w:p>
    <w:p w14:paraId="33FEF11F" w14:textId="77777777" w:rsidR="00FB36A6" w:rsidRDefault="00FB36A6" w:rsidP="00A26B34"/>
    <w:p w14:paraId="56750E6C" w14:textId="77777777" w:rsidR="00126080" w:rsidRDefault="00126080" w:rsidP="00A26B34"/>
    <w:p w14:paraId="63B72F1B" w14:textId="77777777" w:rsidR="00126080" w:rsidRDefault="00126080" w:rsidP="00A26B34"/>
    <w:p w14:paraId="059711E7" w14:textId="77777777" w:rsidR="00126080" w:rsidRDefault="00126080" w:rsidP="00A26B34"/>
    <w:p w14:paraId="0F967E66" w14:textId="77777777" w:rsidR="00126080" w:rsidRDefault="00126080" w:rsidP="00A26B34"/>
    <w:p w14:paraId="1B7BBA5E" w14:textId="77777777" w:rsidR="00EE438F" w:rsidRDefault="00EE438F" w:rsidP="00A26B34"/>
    <w:p w14:paraId="74A95B2C" w14:textId="77777777" w:rsidR="00EE438F" w:rsidRDefault="00EE438F" w:rsidP="00A26B34"/>
    <w:p w14:paraId="201B9B93" w14:textId="77777777" w:rsidR="00EE438F" w:rsidRDefault="00EE438F" w:rsidP="00A26B34"/>
    <w:p w14:paraId="5E2C2227" w14:textId="77777777" w:rsidR="00EE438F" w:rsidRDefault="00EE438F" w:rsidP="00A26B34"/>
    <w:p w14:paraId="5E272482" w14:textId="77777777" w:rsidR="00EE438F" w:rsidRDefault="00EE438F" w:rsidP="00A26B34"/>
    <w:p w14:paraId="1EB0701C" w14:textId="77777777" w:rsidR="00EE438F" w:rsidRDefault="00EE438F" w:rsidP="00A26B34"/>
    <w:p w14:paraId="71C9B6B0" w14:textId="77777777" w:rsidR="00EE438F" w:rsidRDefault="00EE438F" w:rsidP="00A26B34"/>
    <w:p w14:paraId="627279F1" w14:textId="77777777" w:rsidR="00EE438F" w:rsidRDefault="00EE438F" w:rsidP="00A26B34"/>
    <w:p w14:paraId="5CBD0411" w14:textId="77777777" w:rsidR="00EE438F" w:rsidRDefault="00EE438F" w:rsidP="00A26B34"/>
    <w:p w14:paraId="5A51E122" w14:textId="77777777" w:rsidR="00EE438F" w:rsidRDefault="00EE438F" w:rsidP="00A26B34"/>
    <w:p w14:paraId="1236B0D8" w14:textId="77777777" w:rsidR="00EE438F" w:rsidRDefault="00EE438F" w:rsidP="00A26B34"/>
    <w:p w14:paraId="572AF9A0" w14:textId="77777777" w:rsidR="00EE438F" w:rsidRDefault="00EE438F" w:rsidP="00A26B34"/>
    <w:p w14:paraId="26B760F1" w14:textId="77777777" w:rsidR="00A26B34" w:rsidRDefault="00A26B34" w:rsidP="00A26B34"/>
    <w:p w14:paraId="640ED404" w14:textId="77777777" w:rsidR="00134681" w:rsidRDefault="00FB36A6" w:rsidP="00FB36A6">
      <w:pPr>
        <w:spacing w:after="0" w:line="240" w:lineRule="auto"/>
        <w:jc w:val="center"/>
      </w:pPr>
      <w:r>
        <w:rPr>
          <w:noProof/>
          <w:lang w:eastAsia="cs-CZ"/>
        </w:rPr>
        <w:drawing>
          <wp:inline distT="0" distB="0" distL="0" distR="0" wp14:anchorId="74958A0F" wp14:editId="27DE4F12">
            <wp:extent cx="1319544" cy="153352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9412" r="56311" b="1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423" cy="154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68C357E" wp14:editId="1BECCEFC">
            <wp:extent cx="1724025" cy="1530512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17" t="10948" r="6934" b="15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19" cy="153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88ED2" w14:textId="77777777" w:rsidR="004E7034" w:rsidRPr="00134681" w:rsidRDefault="004E7034" w:rsidP="00FB36A6">
      <w:pPr>
        <w:spacing w:after="0" w:line="240" w:lineRule="auto"/>
        <w:jc w:val="center"/>
      </w:pPr>
    </w:p>
    <w:sectPr w:rsidR="004E7034" w:rsidRPr="00134681" w:rsidSect="00BE5DA6">
      <w:headerReference w:type="default" r:id="rId13"/>
      <w:footerReference w:type="default" r:id="rId14"/>
      <w:footerReference w:type="first" r:id="rId15"/>
      <w:pgSz w:w="11907" w:h="16839" w:code="9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8D434" w14:textId="77777777" w:rsidR="005F2F77" w:rsidRDefault="005F2F77" w:rsidP="00D1483A">
      <w:pPr>
        <w:spacing w:after="0" w:line="240" w:lineRule="auto"/>
      </w:pPr>
      <w:r>
        <w:separator/>
      </w:r>
    </w:p>
  </w:endnote>
  <w:endnote w:type="continuationSeparator" w:id="0">
    <w:p w14:paraId="2CD74B52" w14:textId="77777777" w:rsidR="005F2F77" w:rsidRDefault="005F2F77" w:rsidP="00D1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5BE4E" w14:textId="77777777" w:rsidR="00E20013" w:rsidRDefault="00E20013" w:rsidP="00955866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F425E" w14:textId="77777777" w:rsidR="00E20013" w:rsidRDefault="00E20013" w:rsidP="00CE317B">
    <w:pPr>
      <w:pStyle w:val="Zpat"/>
      <w:ind w:left="3544"/>
    </w:pPr>
    <w:r>
      <w:rPr>
        <w:noProof/>
        <w:lang w:eastAsia="cs-CZ"/>
      </w:rPr>
      <w:drawing>
        <wp:inline distT="0" distB="0" distL="0" distR="0" wp14:anchorId="529F57BF" wp14:editId="45F6107B">
          <wp:extent cx="1303361" cy="129653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8233" cy="1301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D5377" w14:textId="77777777" w:rsidR="005F2F77" w:rsidRDefault="005F2F77" w:rsidP="00D1483A">
      <w:pPr>
        <w:spacing w:after="0" w:line="240" w:lineRule="auto"/>
      </w:pPr>
      <w:r>
        <w:separator/>
      </w:r>
    </w:p>
  </w:footnote>
  <w:footnote w:type="continuationSeparator" w:id="0">
    <w:p w14:paraId="4005072F" w14:textId="77777777" w:rsidR="005F2F77" w:rsidRDefault="005F2F77" w:rsidP="00D1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7054860"/>
      <w:docPartObj>
        <w:docPartGallery w:val="Page Numbers (Top of Page)"/>
        <w:docPartUnique/>
      </w:docPartObj>
    </w:sdtPr>
    <w:sdtEndPr/>
    <w:sdtContent>
      <w:p w14:paraId="46D6BAB8" w14:textId="77777777" w:rsidR="00E20013" w:rsidRDefault="00E20013">
        <w:pPr>
          <w:pStyle w:val="Zhlav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7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C5F1A5" w14:textId="77777777" w:rsidR="00E20013" w:rsidRDefault="00E20013">
    <w:pPr>
      <w:pStyle w:val="Zhlav"/>
    </w:pPr>
    <w:r>
      <w:rPr>
        <w:noProof/>
        <w:lang w:eastAsia="cs-CZ"/>
      </w:rPr>
      <w:drawing>
        <wp:inline distT="0" distB="0" distL="0" distR="0" wp14:anchorId="7C810FE9" wp14:editId="7E4C5D2C">
          <wp:extent cx="2400300" cy="471563"/>
          <wp:effectExtent l="0" t="0" r="0" b="0"/>
          <wp:docPr id="2" name="Obrázek 11" descr="logoČ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Č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826" cy="475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732"/>
    <w:multiLevelType w:val="hybridMultilevel"/>
    <w:tmpl w:val="C2720C60"/>
    <w:lvl w:ilvl="0" w:tplc="E88000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531C"/>
    <w:multiLevelType w:val="hybridMultilevel"/>
    <w:tmpl w:val="3D20800C"/>
    <w:lvl w:ilvl="0" w:tplc="B9B4B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A8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6C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CE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6D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A2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2C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2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EE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B633AD"/>
    <w:multiLevelType w:val="multilevel"/>
    <w:tmpl w:val="3A5E82B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5482D67"/>
    <w:multiLevelType w:val="hybridMultilevel"/>
    <w:tmpl w:val="ED9E5152"/>
    <w:lvl w:ilvl="0" w:tplc="34004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EF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09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4A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E8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2E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65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A3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60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0353C0"/>
    <w:multiLevelType w:val="hybridMultilevel"/>
    <w:tmpl w:val="566CCB2E"/>
    <w:lvl w:ilvl="0" w:tplc="B10E19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0991"/>
    <w:multiLevelType w:val="hybridMultilevel"/>
    <w:tmpl w:val="82069F3A"/>
    <w:lvl w:ilvl="0" w:tplc="09705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6B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2F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22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E4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A2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41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63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7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A47463"/>
    <w:multiLevelType w:val="hybridMultilevel"/>
    <w:tmpl w:val="B01CC8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267A44"/>
    <w:multiLevelType w:val="hybridMultilevel"/>
    <w:tmpl w:val="8898B26E"/>
    <w:lvl w:ilvl="0" w:tplc="B10E1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29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CA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E5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ED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8E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AF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07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08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0D3E0B"/>
    <w:multiLevelType w:val="hybridMultilevel"/>
    <w:tmpl w:val="F928F4F2"/>
    <w:lvl w:ilvl="0" w:tplc="B49AEE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6727B"/>
    <w:multiLevelType w:val="hybridMultilevel"/>
    <w:tmpl w:val="4AB204A0"/>
    <w:lvl w:ilvl="0" w:tplc="A8D47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2C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C6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A3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0F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0F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A1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05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2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CCB"/>
    <w:rsid w:val="00004920"/>
    <w:rsid w:val="000112E4"/>
    <w:rsid w:val="00012ACE"/>
    <w:rsid w:val="000207E5"/>
    <w:rsid w:val="00041218"/>
    <w:rsid w:val="00043B2E"/>
    <w:rsid w:val="00044A63"/>
    <w:rsid w:val="0004612B"/>
    <w:rsid w:val="000571A7"/>
    <w:rsid w:val="000602AA"/>
    <w:rsid w:val="00067B1C"/>
    <w:rsid w:val="00077E34"/>
    <w:rsid w:val="000804C4"/>
    <w:rsid w:val="00080C68"/>
    <w:rsid w:val="00083372"/>
    <w:rsid w:val="00097F6C"/>
    <w:rsid w:val="000B1DA4"/>
    <w:rsid w:val="000B7D5F"/>
    <w:rsid w:val="000C43EC"/>
    <w:rsid w:val="000D00E5"/>
    <w:rsid w:val="000D109D"/>
    <w:rsid w:val="000E3746"/>
    <w:rsid w:val="000E3B94"/>
    <w:rsid w:val="00126080"/>
    <w:rsid w:val="00134681"/>
    <w:rsid w:val="00135CB4"/>
    <w:rsid w:val="00136DEF"/>
    <w:rsid w:val="00144129"/>
    <w:rsid w:val="00144DD2"/>
    <w:rsid w:val="00150C31"/>
    <w:rsid w:val="001718DB"/>
    <w:rsid w:val="00176454"/>
    <w:rsid w:val="00177CD3"/>
    <w:rsid w:val="00181F75"/>
    <w:rsid w:val="00193638"/>
    <w:rsid w:val="001A241E"/>
    <w:rsid w:val="001A6F74"/>
    <w:rsid w:val="001C0948"/>
    <w:rsid w:val="001C0A7E"/>
    <w:rsid w:val="001C4B5C"/>
    <w:rsid w:val="001D0EAE"/>
    <w:rsid w:val="001D2456"/>
    <w:rsid w:val="001D26E0"/>
    <w:rsid w:val="001D7274"/>
    <w:rsid w:val="001F4708"/>
    <w:rsid w:val="0021099E"/>
    <w:rsid w:val="00210B30"/>
    <w:rsid w:val="002117F5"/>
    <w:rsid w:val="002131F1"/>
    <w:rsid w:val="00222E89"/>
    <w:rsid w:val="00225743"/>
    <w:rsid w:val="00230B43"/>
    <w:rsid w:val="00233FCF"/>
    <w:rsid w:val="0024153A"/>
    <w:rsid w:val="00272F31"/>
    <w:rsid w:val="002833C9"/>
    <w:rsid w:val="002940C0"/>
    <w:rsid w:val="002A5BDD"/>
    <w:rsid w:val="002B5FA5"/>
    <w:rsid w:val="002D0406"/>
    <w:rsid w:val="002D3567"/>
    <w:rsid w:val="002D4C72"/>
    <w:rsid w:val="002E0EE8"/>
    <w:rsid w:val="002E4E92"/>
    <w:rsid w:val="0030687B"/>
    <w:rsid w:val="0031237E"/>
    <w:rsid w:val="0032041C"/>
    <w:rsid w:val="003376D5"/>
    <w:rsid w:val="00344324"/>
    <w:rsid w:val="00351E5E"/>
    <w:rsid w:val="003749BE"/>
    <w:rsid w:val="0037576D"/>
    <w:rsid w:val="0038103C"/>
    <w:rsid w:val="003851AB"/>
    <w:rsid w:val="003866D8"/>
    <w:rsid w:val="00386F49"/>
    <w:rsid w:val="003914EF"/>
    <w:rsid w:val="00393734"/>
    <w:rsid w:val="003A455C"/>
    <w:rsid w:val="003C7DE5"/>
    <w:rsid w:val="003D0559"/>
    <w:rsid w:val="003D17CD"/>
    <w:rsid w:val="003D45F0"/>
    <w:rsid w:val="003D4827"/>
    <w:rsid w:val="003E3AA3"/>
    <w:rsid w:val="003E5981"/>
    <w:rsid w:val="003F3256"/>
    <w:rsid w:val="00404CDF"/>
    <w:rsid w:val="00407B53"/>
    <w:rsid w:val="0041298A"/>
    <w:rsid w:val="0041529D"/>
    <w:rsid w:val="0042600F"/>
    <w:rsid w:val="0043349E"/>
    <w:rsid w:val="00436805"/>
    <w:rsid w:val="004431A6"/>
    <w:rsid w:val="0044567B"/>
    <w:rsid w:val="00455D82"/>
    <w:rsid w:val="00457920"/>
    <w:rsid w:val="004629DD"/>
    <w:rsid w:val="00464017"/>
    <w:rsid w:val="00485EC9"/>
    <w:rsid w:val="00486530"/>
    <w:rsid w:val="00486AFB"/>
    <w:rsid w:val="00487755"/>
    <w:rsid w:val="004B2A1F"/>
    <w:rsid w:val="004C33FF"/>
    <w:rsid w:val="004D55C8"/>
    <w:rsid w:val="004D7A5E"/>
    <w:rsid w:val="004E2F90"/>
    <w:rsid w:val="004E4AA5"/>
    <w:rsid w:val="004E7034"/>
    <w:rsid w:val="004E71A8"/>
    <w:rsid w:val="004F2DE9"/>
    <w:rsid w:val="00515F0B"/>
    <w:rsid w:val="0054777C"/>
    <w:rsid w:val="00564BB0"/>
    <w:rsid w:val="005802D2"/>
    <w:rsid w:val="005850D3"/>
    <w:rsid w:val="005A3130"/>
    <w:rsid w:val="005A3D98"/>
    <w:rsid w:val="005B340D"/>
    <w:rsid w:val="005B3F94"/>
    <w:rsid w:val="005C1783"/>
    <w:rsid w:val="005C7726"/>
    <w:rsid w:val="005D0AFC"/>
    <w:rsid w:val="005D3544"/>
    <w:rsid w:val="005E140D"/>
    <w:rsid w:val="005E1A3B"/>
    <w:rsid w:val="005E4C5B"/>
    <w:rsid w:val="005F2F77"/>
    <w:rsid w:val="005F6945"/>
    <w:rsid w:val="006006B1"/>
    <w:rsid w:val="006052FA"/>
    <w:rsid w:val="006169C8"/>
    <w:rsid w:val="00624B6D"/>
    <w:rsid w:val="00625380"/>
    <w:rsid w:val="0063239F"/>
    <w:rsid w:val="00636464"/>
    <w:rsid w:val="006501E0"/>
    <w:rsid w:val="006643AC"/>
    <w:rsid w:val="00666E83"/>
    <w:rsid w:val="00675C1E"/>
    <w:rsid w:val="00682BF4"/>
    <w:rsid w:val="006844C9"/>
    <w:rsid w:val="006A0C74"/>
    <w:rsid w:val="006A3AED"/>
    <w:rsid w:val="006C1D29"/>
    <w:rsid w:val="006D0125"/>
    <w:rsid w:val="006D3C2F"/>
    <w:rsid w:val="006E2640"/>
    <w:rsid w:val="006F3072"/>
    <w:rsid w:val="006F42F0"/>
    <w:rsid w:val="006F66F9"/>
    <w:rsid w:val="00711694"/>
    <w:rsid w:val="007330A7"/>
    <w:rsid w:val="007360F8"/>
    <w:rsid w:val="007424D8"/>
    <w:rsid w:val="007430D6"/>
    <w:rsid w:val="007476AA"/>
    <w:rsid w:val="007517EB"/>
    <w:rsid w:val="00770D85"/>
    <w:rsid w:val="0077793B"/>
    <w:rsid w:val="00783FA7"/>
    <w:rsid w:val="007944BD"/>
    <w:rsid w:val="007A52D8"/>
    <w:rsid w:val="007C57B4"/>
    <w:rsid w:val="007D7837"/>
    <w:rsid w:val="007F473E"/>
    <w:rsid w:val="008008F9"/>
    <w:rsid w:val="008059B9"/>
    <w:rsid w:val="00826FDF"/>
    <w:rsid w:val="00830779"/>
    <w:rsid w:val="00835098"/>
    <w:rsid w:val="00852925"/>
    <w:rsid w:val="00871DF4"/>
    <w:rsid w:val="008779BF"/>
    <w:rsid w:val="0088148B"/>
    <w:rsid w:val="00890A96"/>
    <w:rsid w:val="00896691"/>
    <w:rsid w:val="008B2482"/>
    <w:rsid w:val="008D7D8A"/>
    <w:rsid w:val="008E1AB6"/>
    <w:rsid w:val="008F1485"/>
    <w:rsid w:val="00901DDD"/>
    <w:rsid w:val="0090662B"/>
    <w:rsid w:val="00917C03"/>
    <w:rsid w:val="009253D9"/>
    <w:rsid w:val="00925C17"/>
    <w:rsid w:val="00927141"/>
    <w:rsid w:val="00944CD0"/>
    <w:rsid w:val="00945A6F"/>
    <w:rsid w:val="00955866"/>
    <w:rsid w:val="00967B8A"/>
    <w:rsid w:val="009702F8"/>
    <w:rsid w:val="00972FC1"/>
    <w:rsid w:val="009869AA"/>
    <w:rsid w:val="00990026"/>
    <w:rsid w:val="00992074"/>
    <w:rsid w:val="009C013F"/>
    <w:rsid w:val="009C1E10"/>
    <w:rsid w:val="009C419D"/>
    <w:rsid w:val="009C5C3B"/>
    <w:rsid w:val="009C63B3"/>
    <w:rsid w:val="009D025B"/>
    <w:rsid w:val="009E1367"/>
    <w:rsid w:val="009E169E"/>
    <w:rsid w:val="009F0AC7"/>
    <w:rsid w:val="009F6D15"/>
    <w:rsid w:val="00A0726F"/>
    <w:rsid w:val="00A07698"/>
    <w:rsid w:val="00A15EF0"/>
    <w:rsid w:val="00A26140"/>
    <w:rsid w:val="00A26B34"/>
    <w:rsid w:val="00A34F6B"/>
    <w:rsid w:val="00A362DD"/>
    <w:rsid w:val="00A51122"/>
    <w:rsid w:val="00A548BF"/>
    <w:rsid w:val="00A56AF8"/>
    <w:rsid w:val="00A779EC"/>
    <w:rsid w:val="00A839EF"/>
    <w:rsid w:val="00AA3CAB"/>
    <w:rsid w:val="00AB1926"/>
    <w:rsid w:val="00AC2A88"/>
    <w:rsid w:val="00AF1835"/>
    <w:rsid w:val="00AF5F8B"/>
    <w:rsid w:val="00B13429"/>
    <w:rsid w:val="00B26647"/>
    <w:rsid w:val="00B4797C"/>
    <w:rsid w:val="00B74EE8"/>
    <w:rsid w:val="00B85809"/>
    <w:rsid w:val="00BA18F3"/>
    <w:rsid w:val="00BB599B"/>
    <w:rsid w:val="00BC68AF"/>
    <w:rsid w:val="00BC77C4"/>
    <w:rsid w:val="00BE5DA6"/>
    <w:rsid w:val="00BF797F"/>
    <w:rsid w:val="00C019FE"/>
    <w:rsid w:val="00C0252A"/>
    <w:rsid w:val="00C146B2"/>
    <w:rsid w:val="00C21B9F"/>
    <w:rsid w:val="00C221FC"/>
    <w:rsid w:val="00C236AD"/>
    <w:rsid w:val="00C27809"/>
    <w:rsid w:val="00C33361"/>
    <w:rsid w:val="00C35350"/>
    <w:rsid w:val="00C35D2E"/>
    <w:rsid w:val="00C360C8"/>
    <w:rsid w:val="00C73F05"/>
    <w:rsid w:val="00C82444"/>
    <w:rsid w:val="00C854A8"/>
    <w:rsid w:val="00CB2E2B"/>
    <w:rsid w:val="00CB56E8"/>
    <w:rsid w:val="00CC727B"/>
    <w:rsid w:val="00CE317B"/>
    <w:rsid w:val="00CE4AE5"/>
    <w:rsid w:val="00D076E4"/>
    <w:rsid w:val="00D13434"/>
    <w:rsid w:val="00D1483A"/>
    <w:rsid w:val="00D15DB7"/>
    <w:rsid w:val="00D1625E"/>
    <w:rsid w:val="00D27601"/>
    <w:rsid w:val="00D71DBE"/>
    <w:rsid w:val="00D75501"/>
    <w:rsid w:val="00D75937"/>
    <w:rsid w:val="00D75A9D"/>
    <w:rsid w:val="00D83C08"/>
    <w:rsid w:val="00D9645F"/>
    <w:rsid w:val="00D97E39"/>
    <w:rsid w:val="00DD15E0"/>
    <w:rsid w:val="00DD5651"/>
    <w:rsid w:val="00DE5CA8"/>
    <w:rsid w:val="00DE6D21"/>
    <w:rsid w:val="00E067CE"/>
    <w:rsid w:val="00E1664F"/>
    <w:rsid w:val="00E20013"/>
    <w:rsid w:val="00E2600A"/>
    <w:rsid w:val="00E33689"/>
    <w:rsid w:val="00E37EFA"/>
    <w:rsid w:val="00E41BDE"/>
    <w:rsid w:val="00E46C99"/>
    <w:rsid w:val="00E61CCB"/>
    <w:rsid w:val="00E70395"/>
    <w:rsid w:val="00E726F6"/>
    <w:rsid w:val="00E96F0C"/>
    <w:rsid w:val="00E976F6"/>
    <w:rsid w:val="00EA5CA8"/>
    <w:rsid w:val="00EC26DD"/>
    <w:rsid w:val="00EC3A29"/>
    <w:rsid w:val="00EC6B15"/>
    <w:rsid w:val="00ED28CF"/>
    <w:rsid w:val="00EE1B9E"/>
    <w:rsid w:val="00EE29EF"/>
    <w:rsid w:val="00EE438F"/>
    <w:rsid w:val="00EE4577"/>
    <w:rsid w:val="00EE4F27"/>
    <w:rsid w:val="00F01CFA"/>
    <w:rsid w:val="00F0635D"/>
    <w:rsid w:val="00F21342"/>
    <w:rsid w:val="00F31CA4"/>
    <w:rsid w:val="00F37C2B"/>
    <w:rsid w:val="00F469EA"/>
    <w:rsid w:val="00F5100B"/>
    <w:rsid w:val="00F62A9E"/>
    <w:rsid w:val="00F6468A"/>
    <w:rsid w:val="00F670E6"/>
    <w:rsid w:val="00F86634"/>
    <w:rsid w:val="00F92DF6"/>
    <w:rsid w:val="00FB36A6"/>
    <w:rsid w:val="00FB3ADA"/>
    <w:rsid w:val="00FC6C11"/>
    <w:rsid w:val="00FE062D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7E91E2"/>
  <w15:docId w15:val="{BA155AE7-9532-4042-8705-9E022EAD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00F"/>
    <w:rPr>
      <w:rFonts w:asciiTheme="minorHAnsi" w:hAnsiTheme="minorHAnsi"/>
      <w:i/>
    </w:rPr>
  </w:style>
  <w:style w:type="paragraph" w:styleId="Nadpis1">
    <w:name w:val="heading 1"/>
    <w:basedOn w:val="Normln"/>
    <w:next w:val="Normln"/>
    <w:link w:val="Nadpis1Char"/>
    <w:uiPriority w:val="9"/>
    <w:qFormat/>
    <w:rsid w:val="003D4827"/>
    <w:pPr>
      <w:keepNext/>
      <w:keepLines/>
      <w:spacing w:before="480" w:after="0"/>
      <w:outlineLvl w:val="0"/>
    </w:pPr>
    <w:rPr>
      <w:rFonts w:eastAsiaTheme="majorEastAsia" w:cstheme="majorBidi"/>
      <w:bCs/>
      <w:color w:val="002060"/>
      <w:sz w:val="5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4827"/>
    <w:rPr>
      <w:rFonts w:asciiTheme="minorHAnsi" w:eastAsiaTheme="majorEastAsia" w:hAnsiTheme="minorHAnsi" w:cstheme="majorBidi"/>
      <w:bCs/>
      <w:i/>
      <w:color w:val="002060"/>
      <w:sz w:val="52"/>
      <w:szCs w:val="28"/>
    </w:rPr>
  </w:style>
  <w:style w:type="paragraph" w:styleId="Zhlav">
    <w:name w:val="header"/>
    <w:basedOn w:val="Normln"/>
    <w:link w:val="ZhlavChar"/>
    <w:uiPriority w:val="99"/>
    <w:unhideWhenUsed/>
    <w:rsid w:val="00D14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83A"/>
  </w:style>
  <w:style w:type="paragraph" w:styleId="Zpat">
    <w:name w:val="footer"/>
    <w:basedOn w:val="Normln"/>
    <w:link w:val="ZpatChar"/>
    <w:uiPriority w:val="99"/>
    <w:unhideWhenUsed/>
    <w:rsid w:val="00D14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483A"/>
  </w:style>
  <w:style w:type="paragraph" w:styleId="Obsah1">
    <w:name w:val="toc 1"/>
    <w:basedOn w:val="Normln"/>
    <w:next w:val="Normln"/>
    <w:autoRedefine/>
    <w:uiPriority w:val="39"/>
    <w:unhideWhenUsed/>
    <w:rsid w:val="00D1483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D1483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09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D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0D10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45A6F"/>
    <w:pPr>
      <w:ind w:left="720"/>
      <w:contextualSpacing/>
    </w:pPr>
  </w:style>
  <w:style w:type="paragraph" w:styleId="Zkladntext">
    <w:name w:val="Body Text"/>
    <w:basedOn w:val="Normln"/>
    <w:link w:val="ZkladntextChar"/>
    <w:rsid w:val="00636464"/>
    <w:pPr>
      <w:spacing w:after="0" w:line="240" w:lineRule="auto"/>
      <w:jc w:val="both"/>
    </w:pPr>
    <w:rPr>
      <w:rFonts w:ascii="Times New Roman" w:eastAsia="Times New Roman" w:hAnsi="Times New Roman" w:cs="Times New Roman"/>
      <w:i w:val="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36464"/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636464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Mkatabulky">
    <w:name w:val="Table Grid"/>
    <w:basedOn w:val="Normlntabulka"/>
    <w:uiPriority w:val="59"/>
    <w:rsid w:val="009C013F"/>
    <w:pPr>
      <w:spacing w:after="0" w:line="240" w:lineRule="auto"/>
    </w:pPr>
    <w:rPr>
      <w:rFonts w:ascii="Times New Roman" w:hAnsi="Times New Roman" w:cstheme="minorBidi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27" w:type="dxa"/>
        <w:right w:w="227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2109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1099E"/>
    <w:rPr>
      <w:rFonts w:asciiTheme="minorHAnsi" w:hAnsiTheme="minorHAnsi"/>
      <w:i/>
    </w:rPr>
  </w:style>
  <w:style w:type="table" w:styleId="Stednstnovn1zvraznn5">
    <w:name w:val="Medium Shading 1 Accent 5"/>
    <w:basedOn w:val="Normlntabulka"/>
    <w:uiPriority w:val="63"/>
    <w:rsid w:val="002D35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tnovnzvraznn5">
    <w:name w:val="Light Shading Accent 5"/>
    <w:basedOn w:val="Normlntabulka"/>
    <w:uiPriority w:val="60"/>
    <w:rsid w:val="002D356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stnovn1zvraznn1">
    <w:name w:val="Medium Shading 1 Accent 1"/>
    <w:basedOn w:val="Normlntabulka"/>
    <w:uiPriority w:val="63"/>
    <w:rsid w:val="002D35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1">
    <w:name w:val="Light Grid Accent 1"/>
    <w:basedOn w:val="Normlntabulka"/>
    <w:uiPriority w:val="62"/>
    <w:rsid w:val="002D35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5">
    <w:name w:val="Light Grid Accent 5"/>
    <w:basedOn w:val="Normlntabulka"/>
    <w:uiPriority w:val="62"/>
    <w:rsid w:val="002D356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stnovnzvraznn1">
    <w:name w:val="Light Shading Accent 1"/>
    <w:basedOn w:val="Normlntabulka"/>
    <w:uiPriority w:val="60"/>
    <w:rsid w:val="002D35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eznamzvraznn5">
    <w:name w:val="Light List Accent 5"/>
    <w:basedOn w:val="Normlntabulka"/>
    <w:uiPriority w:val="61"/>
    <w:rsid w:val="00C025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seznam2zvraznn5">
    <w:name w:val="Medium List 2 Accent 5"/>
    <w:basedOn w:val="Normlntabulka"/>
    <w:uiPriority w:val="66"/>
    <w:rsid w:val="00C025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5">
    <w:name w:val="Medium List 1 Accent 5"/>
    <w:basedOn w:val="Normlntabulka"/>
    <w:uiPriority w:val="65"/>
    <w:rsid w:val="00C02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49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7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1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8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0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5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8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5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4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0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7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79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1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1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5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1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3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6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7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esky.porcelan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esky.porcelan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8664-1805-4C84-B9C4-94810D13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3151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SADÍLKOVÁ</Company>
  <LinksUpToDate>false</LinksUpToDate>
  <CharactersWithSpaces>21704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Helena Müllerová</cp:lastModifiedBy>
  <cp:revision>3</cp:revision>
  <cp:lastPrinted>2020-07-08T08:28:00Z</cp:lastPrinted>
  <dcterms:created xsi:type="dcterms:W3CDTF">2020-07-27T11:07:00Z</dcterms:created>
  <dcterms:modified xsi:type="dcterms:W3CDTF">2020-11-08T18:47:00Z</dcterms:modified>
</cp:coreProperties>
</file>